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74" w:rsidRPr="001A22DB" w:rsidRDefault="00B93474" w:rsidP="00C34999">
      <w:pPr>
        <w:autoSpaceDE w:val="0"/>
        <w:autoSpaceDN w:val="0"/>
        <w:adjustRightInd w:val="0"/>
        <w:jc w:val="center"/>
        <w:rPr>
          <w:rFonts w:ascii="Arial" w:hAnsi="Arial" w:cs="Arial"/>
          <w:bCs/>
        </w:rPr>
      </w:pPr>
      <w:bookmarkStart w:id="0" w:name="_GoBack"/>
      <w:bookmarkEnd w:id="0"/>
      <w:r>
        <w:rPr>
          <w:rFonts w:ascii="Arial" w:hAnsi="Arial" w:cs="Arial"/>
          <w:bCs/>
        </w:rPr>
        <w:tab/>
      </w:r>
    </w:p>
    <w:p w:rsidR="00B93474" w:rsidRPr="001A22DB" w:rsidRDefault="00B93474" w:rsidP="00A66F3E">
      <w:pPr>
        <w:autoSpaceDE w:val="0"/>
        <w:autoSpaceDN w:val="0"/>
        <w:adjustRightInd w:val="0"/>
        <w:spacing w:line="276" w:lineRule="auto"/>
        <w:jc w:val="center"/>
        <w:rPr>
          <w:rFonts w:ascii="Arial" w:hAnsi="Arial" w:cs="Arial"/>
          <w:bCs/>
        </w:rPr>
      </w:pPr>
      <w:r w:rsidRPr="001A22DB">
        <w:rPr>
          <w:rFonts w:ascii="Arial" w:hAnsi="Arial" w:cs="Arial"/>
          <w:bCs/>
        </w:rPr>
        <w:t>COMUNICATO STAMPA</w:t>
      </w:r>
    </w:p>
    <w:p w:rsidR="00B93474" w:rsidRPr="001A22DB" w:rsidRDefault="00B93474" w:rsidP="00A66F3E">
      <w:pPr>
        <w:autoSpaceDE w:val="0"/>
        <w:autoSpaceDN w:val="0"/>
        <w:adjustRightInd w:val="0"/>
        <w:spacing w:line="276" w:lineRule="auto"/>
        <w:jc w:val="center"/>
        <w:rPr>
          <w:rFonts w:ascii="Arial" w:hAnsi="Arial" w:cs="Arial"/>
          <w:bCs/>
        </w:rPr>
      </w:pPr>
    </w:p>
    <w:p w:rsidR="00B93474" w:rsidRPr="001A22DB" w:rsidRDefault="00B93474" w:rsidP="00457847">
      <w:pPr>
        <w:spacing w:before="120" w:after="120"/>
        <w:jc w:val="center"/>
        <w:outlineLvl w:val="0"/>
        <w:rPr>
          <w:rFonts w:ascii="Arial" w:hAnsi="Arial" w:cs="Arial"/>
          <w:b/>
          <w:bCs/>
        </w:rPr>
      </w:pPr>
    </w:p>
    <w:p w:rsidR="00B93474" w:rsidRDefault="00B93474" w:rsidP="006174AC">
      <w:pPr>
        <w:spacing w:before="120" w:after="120"/>
        <w:jc w:val="center"/>
        <w:outlineLvl w:val="0"/>
        <w:rPr>
          <w:rFonts w:ascii="Arial" w:hAnsi="Arial" w:cs="Arial"/>
          <w:b/>
          <w:bCs/>
        </w:rPr>
      </w:pPr>
      <w:r w:rsidRPr="006174AC">
        <w:rPr>
          <w:rFonts w:ascii="Arial" w:hAnsi="Arial" w:cs="Arial"/>
          <w:b/>
          <w:bCs/>
        </w:rPr>
        <w:t>BILANCIO D’ESERCIZIO E</w:t>
      </w:r>
      <w:r>
        <w:rPr>
          <w:rFonts w:ascii="Arial" w:hAnsi="Arial" w:cs="Arial"/>
          <w:b/>
          <w:bCs/>
        </w:rPr>
        <w:t xml:space="preserve"> CONSOLIDATO AL 31 DICEMBRE 2014</w:t>
      </w:r>
      <w:r w:rsidRPr="006174AC">
        <w:rPr>
          <w:rFonts w:ascii="Arial" w:hAnsi="Arial" w:cs="Arial"/>
          <w:b/>
          <w:bCs/>
        </w:rPr>
        <w:t xml:space="preserve"> NONCHÉ RELAZIONE FINANZIARIA SEMESTRALE 201</w:t>
      </w:r>
      <w:r>
        <w:rPr>
          <w:rFonts w:ascii="Arial" w:hAnsi="Arial" w:cs="Arial"/>
          <w:b/>
          <w:bCs/>
        </w:rPr>
        <w:t>5</w:t>
      </w:r>
      <w:r w:rsidRPr="006174AC">
        <w:rPr>
          <w:rFonts w:ascii="Arial" w:hAnsi="Arial" w:cs="Arial"/>
          <w:b/>
          <w:bCs/>
        </w:rPr>
        <w:t xml:space="preserve"> DI B</w:t>
      </w:r>
      <w:r>
        <w:rPr>
          <w:rFonts w:ascii="Arial" w:hAnsi="Arial" w:cs="Arial"/>
          <w:b/>
          <w:bCs/>
        </w:rPr>
        <w:t xml:space="preserve">MPS </w:t>
      </w:r>
    </w:p>
    <w:p w:rsidR="00B93474" w:rsidRPr="001A22DB" w:rsidRDefault="00B93474" w:rsidP="006174AC">
      <w:pPr>
        <w:spacing w:before="120" w:after="120"/>
        <w:jc w:val="center"/>
        <w:outlineLvl w:val="0"/>
        <w:rPr>
          <w:rFonts w:ascii="Arial" w:hAnsi="Arial" w:cs="Arial"/>
          <w:b/>
          <w:bCs/>
        </w:rPr>
      </w:pPr>
      <w:r w:rsidRPr="006174AC">
        <w:rPr>
          <w:rFonts w:ascii="Arial" w:hAnsi="Arial" w:cs="Arial"/>
          <w:b/>
          <w:bCs/>
        </w:rPr>
        <w:t>INFORMAZIONI AI SENSI DELL’ART. 154-TER, COMMA 7, DEL D.LGS N. 58/98</w:t>
      </w:r>
    </w:p>
    <w:p w:rsidR="00B93474" w:rsidRPr="001A22DB" w:rsidRDefault="00B93474" w:rsidP="00457847">
      <w:pPr>
        <w:jc w:val="both"/>
        <w:rPr>
          <w:rFonts w:ascii="Arial" w:hAnsi="Arial" w:cs="Arial"/>
        </w:rPr>
      </w:pPr>
    </w:p>
    <w:p w:rsidR="00E15C25" w:rsidRPr="00E15C25" w:rsidRDefault="00B93474" w:rsidP="00E15C25">
      <w:pPr>
        <w:spacing w:line="360" w:lineRule="auto"/>
        <w:jc w:val="both"/>
        <w:rPr>
          <w:rFonts w:ascii="Arial" w:hAnsi="Arial" w:cs="Arial"/>
        </w:rPr>
      </w:pPr>
      <w:r w:rsidRPr="001A22DB">
        <w:rPr>
          <w:rFonts w:ascii="Arial" w:hAnsi="Arial" w:cs="Arial"/>
          <w:i/>
        </w:rPr>
        <w:t xml:space="preserve">Siena, </w:t>
      </w:r>
      <w:r>
        <w:rPr>
          <w:rFonts w:ascii="Arial" w:hAnsi="Arial" w:cs="Arial"/>
          <w:i/>
        </w:rPr>
        <w:t>16</w:t>
      </w:r>
      <w:r w:rsidRPr="001A22DB">
        <w:rPr>
          <w:rFonts w:ascii="Arial" w:hAnsi="Arial" w:cs="Arial"/>
          <w:i/>
        </w:rPr>
        <w:t xml:space="preserve"> </w:t>
      </w:r>
      <w:r>
        <w:rPr>
          <w:rFonts w:ascii="Arial" w:hAnsi="Arial" w:cs="Arial"/>
          <w:i/>
        </w:rPr>
        <w:t>dicembre</w:t>
      </w:r>
      <w:r w:rsidRPr="001A22DB">
        <w:rPr>
          <w:rFonts w:ascii="Arial" w:hAnsi="Arial" w:cs="Arial"/>
          <w:i/>
        </w:rPr>
        <w:t xml:space="preserve"> 201</w:t>
      </w:r>
      <w:r>
        <w:rPr>
          <w:rFonts w:ascii="Arial" w:hAnsi="Arial" w:cs="Arial"/>
          <w:i/>
        </w:rPr>
        <w:t>5</w:t>
      </w:r>
      <w:r w:rsidRPr="001A22DB">
        <w:rPr>
          <w:rFonts w:ascii="Arial" w:hAnsi="Arial" w:cs="Arial"/>
        </w:rPr>
        <w:t xml:space="preserve"> - </w:t>
      </w:r>
      <w:r w:rsidR="00E15C25" w:rsidRPr="00E15C25">
        <w:rPr>
          <w:rFonts w:ascii="Arial" w:hAnsi="Arial" w:cs="Arial"/>
        </w:rPr>
        <w:t xml:space="preserve">Banca Monte dei Paschi di Siena S.p.A. (anche la “Banca” o “BMPS”) prende atto che </w:t>
      </w:r>
      <w:proofErr w:type="spellStart"/>
      <w:r w:rsidR="00E15C25">
        <w:rPr>
          <w:rFonts w:ascii="Arial" w:hAnsi="Arial" w:cs="Arial"/>
        </w:rPr>
        <w:t>Consob</w:t>
      </w:r>
      <w:proofErr w:type="spellEnd"/>
      <w:r w:rsidR="00E15C25" w:rsidRPr="00E15C25">
        <w:rPr>
          <w:rFonts w:ascii="Arial" w:hAnsi="Arial" w:cs="Arial"/>
        </w:rPr>
        <w:t xml:space="preserve"> (anche l’“Autorità di Vigilanza”</w:t>
      </w:r>
      <w:r w:rsidR="00A44231">
        <w:rPr>
          <w:rFonts w:ascii="Arial" w:hAnsi="Arial" w:cs="Arial"/>
        </w:rPr>
        <w:t xml:space="preserve"> o la “Commissione”</w:t>
      </w:r>
      <w:r w:rsidR="00E15C25" w:rsidRPr="00E15C25">
        <w:rPr>
          <w:rFonts w:ascii="Arial" w:hAnsi="Arial" w:cs="Arial"/>
        </w:rPr>
        <w:t>), con delibera n. 19459 dell’11 dicembre 2015 (anche la “Delibera”), a conclusione dell’attività istruttoria svolta, ha accertato la non conformità del bilancio consolidato e d’esercizio 2014 e della relazione finanziaria semestrale al 30 giugno 2015 alle regole che ne disciplinano la redazione e segnatamente rispe</w:t>
      </w:r>
      <w:r w:rsidR="00E15C25">
        <w:rPr>
          <w:rFonts w:ascii="Arial" w:hAnsi="Arial" w:cs="Arial"/>
        </w:rPr>
        <w:t>tto all’applicazione dello IAS 1</w:t>
      </w:r>
      <w:r w:rsidR="00E15C25" w:rsidRPr="00E15C25">
        <w:rPr>
          <w:rFonts w:ascii="Arial" w:hAnsi="Arial" w:cs="Arial"/>
        </w:rPr>
        <w:t>, dello IAS 34 e dello IAS 39 con specifico ed esclusivo riferimento alla contabilizzazione</w:t>
      </w:r>
      <w:r w:rsidR="00BE3BB7">
        <w:rPr>
          <w:rFonts w:ascii="Arial" w:hAnsi="Arial" w:cs="Arial"/>
        </w:rPr>
        <w:t xml:space="preserve"> (“a saldi aperti” ovvero “a saldi chiusi”)</w:t>
      </w:r>
      <w:r w:rsidR="00E15C25" w:rsidRPr="00E15C25">
        <w:rPr>
          <w:rFonts w:ascii="Arial" w:hAnsi="Arial" w:cs="Arial"/>
        </w:rPr>
        <w:t xml:space="preserve"> delle poste contabili riferite all’operazione Alexandria</w:t>
      </w:r>
      <w:r w:rsidR="0099712C">
        <w:rPr>
          <w:rFonts w:ascii="Arial" w:hAnsi="Arial" w:cs="Arial"/>
        </w:rPr>
        <w:t>, peraltro</w:t>
      </w:r>
      <w:r w:rsidR="00D32901">
        <w:rPr>
          <w:rFonts w:ascii="Arial" w:hAnsi="Arial" w:cs="Arial"/>
        </w:rPr>
        <w:t xml:space="preserve"> chiusa mediante stipula di un apposito accordo transattivo sottoscritto tra la Banca e </w:t>
      </w:r>
      <w:proofErr w:type="spellStart"/>
      <w:r w:rsidR="00D32901">
        <w:rPr>
          <w:rFonts w:ascii="Arial" w:hAnsi="Arial" w:cs="Arial"/>
        </w:rPr>
        <w:t>Nomura</w:t>
      </w:r>
      <w:proofErr w:type="spellEnd"/>
      <w:r w:rsidR="00AD7A38">
        <w:rPr>
          <w:rFonts w:ascii="Arial" w:hAnsi="Arial" w:cs="Arial"/>
        </w:rPr>
        <w:t xml:space="preserve"> International </w:t>
      </w:r>
      <w:proofErr w:type="spellStart"/>
      <w:r w:rsidR="00AD7A38">
        <w:rPr>
          <w:rFonts w:ascii="Arial" w:hAnsi="Arial" w:cs="Arial"/>
        </w:rPr>
        <w:t>plc</w:t>
      </w:r>
      <w:proofErr w:type="spellEnd"/>
      <w:r w:rsidR="00AD7A38">
        <w:rPr>
          <w:rFonts w:ascii="Arial" w:hAnsi="Arial" w:cs="Arial"/>
        </w:rPr>
        <w:t xml:space="preserve"> (“</w:t>
      </w:r>
      <w:proofErr w:type="spellStart"/>
      <w:r w:rsidR="00AD7A38">
        <w:rPr>
          <w:rFonts w:ascii="Arial" w:hAnsi="Arial" w:cs="Arial"/>
        </w:rPr>
        <w:t>Nomura</w:t>
      </w:r>
      <w:proofErr w:type="spellEnd"/>
      <w:r w:rsidR="00AD7A38">
        <w:rPr>
          <w:rFonts w:ascii="Arial" w:hAnsi="Arial" w:cs="Arial"/>
        </w:rPr>
        <w:t>”)</w:t>
      </w:r>
      <w:r w:rsidR="00D32901">
        <w:rPr>
          <w:rFonts w:ascii="Arial" w:hAnsi="Arial" w:cs="Arial"/>
        </w:rPr>
        <w:t xml:space="preserve"> in data 23 settembre 2015</w:t>
      </w:r>
      <w:r w:rsidR="00E15C25" w:rsidRPr="00E15C25">
        <w:rPr>
          <w:rFonts w:ascii="Arial" w:hAnsi="Arial" w:cs="Arial"/>
        </w:rPr>
        <w:t>.</w:t>
      </w:r>
    </w:p>
    <w:p w:rsidR="00E15C25" w:rsidRPr="00E15C25" w:rsidRDefault="00E15C25" w:rsidP="00E15C25">
      <w:pPr>
        <w:spacing w:line="360" w:lineRule="auto"/>
        <w:jc w:val="both"/>
        <w:rPr>
          <w:rFonts w:ascii="Arial" w:hAnsi="Arial" w:cs="Arial"/>
        </w:rPr>
      </w:pPr>
      <w:r w:rsidRPr="00E15C25">
        <w:rPr>
          <w:rFonts w:ascii="Arial" w:hAnsi="Arial" w:cs="Arial"/>
        </w:rPr>
        <w:t xml:space="preserve">Per effetto di quanto sopra, </w:t>
      </w:r>
      <w:proofErr w:type="spellStart"/>
      <w:r>
        <w:rPr>
          <w:rFonts w:ascii="Arial" w:hAnsi="Arial" w:cs="Arial"/>
        </w:rPr>
        <w:t>Consob</w:t>
      </w:r>
      <w:proofErr w:type="spellEnd"/>
      <w:r w:rsidRPr="00E15C25">
        <w:rPr>
          <w:rFonts w:ascii="Arial" w:hAnsi="Arial" w:cs="Arial"/>
        </w:rPr>
        <w:t xml:space="preserve"> ha richiesto alla Banca di diffondere al pubblico le seguenti informazioni: (i) una descrizione dei principi contabili internazionali applicabili e delle violazioni riscontrate al riguardo; (ii) un’illustrazione delle carenze e delle criticità rilevate da </w:t>
      </w:r>
      <w:proofErr w:type="spellStart"/>
      <w:r>
        <w:rPr>
          <w:rFonts w:ascii="Arial" w:hAnsi="Arial" w:cs="Arial"/>
        </w:rPr>
        <w:t>Consob</w:t>
      </w:r>
      <w:proofErr w:type="spellEnd"/>
      <w:r w:rsidRPr="00E15C25">
        <w:rPr>
          <w:rFonts w:ascii="Arial" w:hAnsi="Arial" w:cs="Arial"/>
        </w:rPr>
        <w:t xml:space="preserve"> in ordine alla correttezza contabile del bilancio consolidato e d’esercizio al 31 dicembre 2014 e della relazione finanziaria semestrale al 30 giugno 2015; (iii) un’informativa idonea a rappresentare gli effetti dell’applicazione dello IAS 8 con riferimento agli errori connessi con la rilevazione, la valutazione e la presentazione delle transazioni concluse con </w:t>
      </w:r>
      <w:proofErr w:type="spellStart"/>
      <w:r w:rsidRPr="00E15C25">
        <w:rPr>
          <w:rFonts w:ascii="Arial" w:hAnsi="Arial" w:cs="Arial"/>
        </w:rPr>
        <w:t>Nomura</w:t>
      </w:r>
      <w:proofErr w:type="spellEnd"/>
      <w:r w:rsidRPr="00E15C25">
        <w:rPr>
          <w:rFonts w:ascii="Arial" w:hAnsi="Arial" w:cs="Arial"/>
        </w:rPr>
        <w:t xml:space="preserve"> fornendo una rappresentazione contabile dell’operazione a saldi chiusi con l’iscrizione di un derivato creditizio in conformità alla definizione data dal paragrafo 9 dello IAS 39.</w:t>
      </w:r>
    </w:p>
    <w:p w:rsidR="00E15C25" w:rsidRPr="00E15C25" w:rsidRDefault="00E15C25" w:rsidP="00E15C25">
      <w:pPr>
        <w:spacing w:line="360" w:lineRule="auto"/>
        <w:jc w:val="both"/>
        <w:rPr>
          <w:rFonts w:ascii="Arial" w:hAnsi="Arial" w:cs="Arial"/>
        </w:rPr>
      </w:pPr>
      <w:r w:rsidRPr="00E15C25">
        <w:rPr>
          <w:rFonts w:ascii="Arial" w:hAnsi="Arial" w:cs="Arial"/>
        </w:rPr>
        <w:t xml:space="preserve">La Banca ha preso atto della circostanza che la stessa </w:t>
      </w:r>
      <w:proofErr w:type="spellStart"/>
      <w:r>
        <w:rPr>
          <w:rFonts w:ascii="Arial" w:hAnsi="Arial" w:cs="Arial"/>
        </w:rPr>
        <w:t>Consob</w:t>
      </w:r>
      <w:proofErr w:type="spellEnd"/>
      <w:r w:rsidRPr="00E15C25">
        <w:rPr>
          <w:rFonts w:ascii="Arial" w:hAnsi="Arial" w:cs="Arial"/>
        </w:rPr>
        <w:t xml:space="preserve"> nella Delibera precisa che:</w:t>
      </w:r>
    </w:p>
    <w:p w:rsidR="00E15C25" w:rsidRPr="00D32901" w:rsidRDefault="00BE3BB7" w:rsidP="00D32901">
      <w:pPr>
        <w:pStyle w:val="Paragrafoelenco"/>
        <w:numPr>
          <w:ilvl w:val="0"/>
          <w:numId w:val="45"/>
        </w:numPr>
        <w:spacing w:line="360" w:lineRule="auto"/>
        <w:jc w:val="both"/>
        <w:rPr>
          <w:rFonts w:ascii="Arial" w:hAnsi="Arial" w:cs="Arial"/>
        </w:rPr>
      </w:pPr>
      <w:proofErr w:type="spellStart"/>
      <w:r>
        <w:rPr>
          <w:rFonts w:ascii="Arial" w:hAnsi="Arial" w:cs="Arial"/>
          <w:sz w:val="24"/>
        </w:rPr>
        <w:t>Consob</w:t>
      </w:r>
      <w:proofErr w:type="spellEnd"/>
      <w:r w:rsidR="009B55BE">
        <w:rPr>
          <w:rFonts w:ascii="Arial" w:hAnsi="Arial" w:cs="Arial"/>
          <w:sz w:val="24"/>
        </w:rPr>
        <w:t xml:space="preserve"> </w:t>
      </w:r>
      <w:r w:rsidR="00E15C25" w:rsidRPr="00D32901">
        <w:rPr>
          <w:rFonts w:ascii="Arial" w:hAnsi="Arial" w:cs="Arial"/>
          <w:sz w:val="24"/>
        </w:rPr>
        <w:t>è stata in grado di superare i profili di incertezza interpretativa connessi alla rilevazione contabile dell’operazione Alexandria “</w:t>
      </w:r>
      <w:r w:rsidR="00E15C25" w:rsidRPr="00675B7A">
        <w:rPr>
          <w:rFonts w:ascii="Arial" w:hAnsi="Arial" w:cs="Arial"/>
          <w:i/>
          <w:sz w:val="24"/>
        </w:rPr>
        <w:t>solo alla luce dei nuovi elementi informativi acquisiti per il tramite della Procura di Milano nel corso del 2015 che hanno consentito di valutare la reale volontà negoziale delle parti [</w:t>
      </w:r>
      <w:proofErr w:type="spellStart"/>
      <w:r w:rsidR="00E15C25" w:rsidRPr="0083343A">
        <w:rPr>
          <w:rFonts w:ascii="Arial" w:hAnsi="Arial" w:cs="Arial"/>
          <w:i/>
          <w:sz w:val="24"/>
        </w:rPr>
        <w:t>ie</w:t>
      </w:r>
      <w:proofErr w:type="spellEnd"/>
      <w:r w:rsidR="00E15C25" w:rsidRPr="00675B7A">
        <w:rPr>
          <w:rFonts w:ascii="Arial" w:hAnsi="Arial" w:cs="Arial"/>
          <w:i/>
          <w:sz w:val="24"/>
        </w:rPr>
        <w:t xml:space="preserve">: BMPS e </w:t>
      </w:r>
      <w:proofErr w:type="spellStart"/>
      <w:r w:rsidR="00E15C25" w:rsidRPr="00675B7A">
        <w:rPr>
          <w:rFonts w:ascii="Arial" w:hAnsi="Arial" w:cs="Arial"/>
          <w:i/>
          <w:sz w:val="24"/>
        </w:rPr>
        <w:t>Nomura</w:t>
      </w:r>
      <w:proofErr w:type="spellEnd"/>
      <w:r w:rsidR="00E15C25" w:rsidRPr="00675B7A">
        <w:rPr>
          <w:rFonts w:ascii="Arial" w:hAnsi="Arial" w:cs="Arial"/>
          <w:i/>
          <w:sz w:val="24"/>
        </w:rPr>
        <w:t>]</w:t>
      </w:r>
      <w:r w:rsidR="00E15C25" w:rsidRPr="00D32901">
        <w:rPr>
          <w:rFonts w:ascii="Arial" w:hAnsi="Arial" w:cs="Arial"/>
          <w:sz w:val="24"/>
        </w:rPr>
        <w:t>”</w:t>
      </w:r>
      <w:r w:rsidR="00CD46E0">
        <w:rPr>
          <w:rFonts w:ascii="Arial" w:hAnsi="Arial" w:cs="Arial"/>
          <w:sz w:val="24"/>
        </w:rPr>
        <w:t>, sicché solo l’interpretazione di tali nuove informazioni l’ha portata a</w:t>
      </w:r>
      <w:r w:rsidR="00E15C25" w:rsidRPr="00D32901">
        <w:rPr>
          <w:rFonts w:ascii="Arial" w:hAnsi="Arial" w:cs="Arial"/>
          <w:sz w:val="24"/>
        </w:rPr>
        <w:t xml:space="preserve"> ritenere che la </w:t>
      </w:r>
      <w:r w:rsidR="00E15C25" w:rsidRPr="00D32901">
        <w:rPr>
          <w:rFonts w:ascii="Arial" w:hAnsi="Arial" w:cs="Arial"/>
          <w:sz w:val="24"/>
        </w:rPr>
        <w:lastRenderedPageBreak/>
        <w:t>contabilizzazione dell’operazione Alexandria dovesse avvenire a saldi chiusi e non a saldi aperti;</w:t>
      </w:r>
    </w:p>
    <w:p w:rsidR="00E15C25" w:rsidRPr="00D32901" w:rsidRDefault="00E15C25" w:rsidP="00D32901">
      <w:pPr>
        <w:pStyle w:val="Paragrafoelenco"/>
        <w:numPr>
          <w:ilvl w:val="0"/>
          <w:numId w:val="45"/>
        </w:numPr>
        <w:spacing w:line="360" w:lineRule="auto"/>
        <w:jc w:val="both"/>
        <w:rPr>
          <w:rFonts w:ascii="Arial" w:hAnsi="Arial" w:cs="Arial"/>
        </w:rPr>
      </w:pPr>
      <w:r w:rsidRPr="00D32901">
        <w:rPr>
          <w:rFonts w:ascii="Arial" w:hAnsi="Arial" w:cs="Arial"/>
          <w:sz w:val="24"/>
        </w:rPr>
        <w:t>“</w:t>
      </w:r>
      <w:r w:rsidRPr="00675B7A">
        <w:rPr>
          <w:rFonts w:ascii="Arial" w:hAnsi="Arial" w:cs="Arial"/>
          <w:i/>
          <w:sz w:val="24"/>
        </w:rPr>
        <w:t>BMPS ha già fornito, in un’apposita situazione economico-patrimoniale consolidata pro-forma corredata dei dati comparativi, l’illustrazione degli effetti che una contabilizzazione a saldi chiusi avrebbe prodotto sulla situazione patrimoniale, sul conto economico nonché sul patrimonio netto del bilancio consolidato e d’esercizio 2014 e della relazione finanziaria semestrale al 30 giugno 2015 …</w:t>
      </w:r>
      <w:r w:rsidRPr="00D32901">
        <w:rPr>
          <w:rFonts w:ascii="Arial" w:hAnsi="Arial" w:cs="Arial"/>
          <w:sz w:val="24"/>
        </w:rPr>
        <w:t>”.</w:t>
      </w:r>
    </w:p>
    <w:p w:rsidR="00E15C25" w:rsidRPr="00E15C25" w:rsidRDefault="00E15C25" w:rsidP="00E15C25">
      <w:pPr>
        <w:spacing w:line="360" w:lineRule="auto"/>
        <w:jc w:val="both"/>
        <w:rPr>
          <w:rFonts w:ascii="Arial" w:hAnsi="Arial" w:cs="Arial"/>
        </w:rPr>
      </w:pPr>
      <w:r w:rsidRPr="00E15C25">
        <w:rPr>
          <w:rFonts w:ascii="Arial" w:hAnsi="Arial" w:cs="Arial"/>
        </w:rPr>
        <w:t xml:space="preserve">In relazione al primo aspetto, la Banca, pur comprendendo la complessità dell’interpretazione dei principi contabili internazionali, in specie quando riferita a operazioni di finanza strutturata quale l’operazione Alexandria, non ritiene, in ciò confortata da parere contabile all’uopo acquisito, che i presupposti tecnico-contabili in base ai quali aveva </w:t>
      </w:r>
      <w:r w:rsidR="007B08D4">
        <w:rPr>
          <w:rFonts w:ascii="Arial" w:hAnsi="Arial" w:cs="Arial"/>
        </w:rPr>
        <w:t xml:space="preserve">provveduto </w:t>
      </w:r>
      <w:r w:rsidRPr="00E15C25">
        <w:rPr>
          <w:rFonts w:ascii="Arial" w:hAnsi="Arial" w:cs="Arial"/>
        </w:rPr>
        <w:t xml:space="preserve"> alla contabilizzazione dell’operazione Alexandria nel bilancio d’esercizio e consolidato chiuso al 31 dicembre </w:t>
      </w:r>
      <w:r w:rsidR="009C3A45">
        <w:rPr>
          <w:rFonts w:ascii="Arial" w:hAnsi="Arial" w:cs="Arial"/>
        </w:rPr>
        <w:t xml:space="preserve">2012 post </w:t>
      </w:r>
      <w:proofErr w:type="spellStart"/>
      <w:r w:rsidR="009C3A45" w:rsidRPr="00D32901">
        <w:rPr>
          <w:rFonts w:ascii="Arial" w:hAnsi="Arial" w:cs="Arial"/>
          <w:i/>
        </w:rPr>
        <w:t>re</w:t>
      </w:r>
      <w:r w:rsidRPr="00D32901">
        <w:rPr>
          <w:rFonts w:ascii="Arial" w:hAnsi="Arial" w:cs="Arial"/>
          <w:i/>
        </w:rPr>
        <w:t>statement</w:t>
      </w:r>
      <w:proofErr w:type="spellEnd"/>
      <w:r w:rsidRPr="00E15C25">
        <w:rPr>
          <w:rFonts w:ascii="Arial" w:hAnsi="Arial" w:cs="Arial"/>
        </w:rPr>
        <w:t xml:space="preserve">, siano </w:t>
      </w:r>
      <w:r w:rsidR="009E0106">
        <w:rPr>
          <w:rFonts w:ascii="Arial" w:hAnsi="Arial" w:cs="Arial"/>
        </w:rPr>
        <w:t>mutati</w:t>
      </w:r>
      <w:r w:rsidRPr="00E15C25">
        <w:rPr>
          <w:rFonts w:ascii="Arial" w:hAnsi="Arial" w:cs="Arial"/>
        </w:rPr>
        <w:t xml:space="preserve">, quanto meno fino a quando non sia venuta a conoscenza dell’orientamento di </w:t>
      </w:r>
      <w:proofErr w:type="spellStart"/>
      <w:r>
        <w:rPr>
          <w:rFonts w:ascii="Arial" w:hAnsi="Arial" w:cs="Arial"/>
        </w:rPr>
        <w:t>Consob</w:t>
      </w:r>
      <w:proofErr w:type="spellEnd"/>
      <w:r w:rsidRPr="00E15C25">
        <w:rPr>
          <w:rFonts w:ascii="Arial" w:hAnsi="Arial" w:cs="Arial"/>
        </w:rPr>
        <w:t>, maturatosi</w:t>
      </w:r>
      <w:r w:rsidR="00D32901">
        <w:rPr>
          <w:rFonts w:ascii="Arial" w:hAnsi="Arial" w:cs="Arial"/>
        </w:rPr>
        <w:t xml:space="preserve"> esclusivamente</w:t>
      </w:r>
      <w:r w:rsidRPr="00E15C25">
        <w:rPr>
          <w:rFonts w:ascii="Arial" w:hAnsi="Arial" w:cs="Arial"/>
        </w:rPr>
        <w:t xml:space="preserve"> a seguito della conoscenza </w:t>
      </w:r>
      <w:r w:rsidR="00B03FDF">
        <w:rPr>
          <w:rFonts w:ascii="Arial" w:hAnsi="Arial" w:cs="Arial"/>
        </w:rPr>
        <w:t xml:space="preserve">ed interpretazione </w:t>
      </w:r>
      <w:r w:rsidRPr="00E15C25">
        <w:rPr>
          <w:rFonts w:ascii="Arial" w:hAnsi="Arial" w:cs="Arial"/>
        </w:rPr>
        <w:t>dei nuovi elementi acquisiti dalla Procura di Milano. Né la Banca, allo stato delle conoscenze attuali,</w:t>
      </w:r>
      <w:r w:rsidR="00B03FDF">
        <w:rPr>
          <w:rFonts w:ascii="Arial" w:hAnsi="Arial" w:cs="Arial"/>
        </w:rPr>
        <w:t xml:space="preserve"> è</w:t>
      </w:r>
      <w:r w:rsidRPr="00E15C25">
        <w:rPr>
          <w:rFonts w:ascii="Arial" w:hAnsi="Arial" w:cs="Arial"/>
        </w:rPr>
        <w:t xml:space="preserve"> in condizione di confermare né tanto meno di confutare quanto sostenuto da </w:t>
      </w:r>
      <w:proofErr w:type="spellStart"/>
      <w:r>
        <w:rPr>
          <w:rFonts w:ascii="Arial" w:hAnsi="Arial" w:cs="Arial"/>
        </w:rPr>
        <w:t>Consob</w:t>
      </w:r>
      <w:proofErr w:type="spellEnd"/>
      <w:r w:rsidRPr="00E15C25">
        <w:rPr>
          <w:rFonts w:ascii="Arial" w:hAnsi="Arial" w:cs="Arial"/>
        </w:rPr>
        <w:t xml:space="preserve"> – sulla base dell</w:t>
      </w:r>
      <w:r w:rsidR="00D32901">
        <w:rPr>
          <w:rFonts w:ascii="Arial" w:hAnsi="Arial" w:cs="Arial"/>
        </w:rPr>
        <w:t>’inte</w:t>
      </w:r>
      <w:r w:rsidR="00B16B66">
        <w:rPr>
          <w:rFonts w:ascii="Arial" w:hAnsi="Arial" w:cs="Arial"/>
        </w:rPr>
        <w:t>r</w:t>
      </w:r>
      <w:r w:rsidR="00D32901">
        <w:rPr>
          <w:rFonts w:ascii="Arial" w:hAnsi="Arial" w:cs="Arial"/>
        </w:rPr>
        <w:t>pretazione delle</w:t>
      </w:r>
      <w:r w:rsidRPr="00E15C25">
        <w:rPr>
          <w:rFonts w:ascii="Arial" w:hAnsi="Arial" w:cs="Arial"/>
        </w:rPr>
        <w:t xml:space="preserve"> nuove informazioni acquisite per il tramite della Procura di Milano – in ordine alla “reale volontà negoziale delle parti” all’epoca della negoziazione dell’operazione Alexandria, circostanza da cui </w:t>
      </w:r>
      <w:proofErr w:type="spellStart"/>
      <w:r>
        <w:rPr>
          <w:rFonts w:ascii="Arial" w:hAnsi="Arial" w:cs="Arial"/>
        </w:rPr>
        <w:t>Consob</w:t>
      </w:r>
      <w:proofErr w:type="spellEnd"/>
      <w:r w:rsidRPr="00E15C25">
        <w:rPr>
          <w:rFonts w:ascii="Arial" w:hAnsi="Arial" w:cs="Arial"/>
        </w:rPr>
        <w:t xml:space="preserve"> fa discendere la ravvisata necessità di contabilizzare l’operazione Alexandria a saldi chiusi. </w:t>
      </w:r>
    </w:p>
    <w:p w:rsidR="00E15C25" w:rsidRPr="00E15C25" w:rsidRDefault="00E15C25" w:rsidP="00E15C25">
      <w:pPr>
        <w:spacing w:line="360" w:lineRule="auto"/>
        <w:jc w:val="both"/>
        <w:rPr>
          <w:rFonts w:ascii="Arial" w:hAnsi="Arial" w:cs="Arial"/>
        </w:rPr>
      </w:pPr>
      <w:r w:rsidRPr="00E15C25">
        <w:rPr>
          <w:rFonts w:ascii="Arial" w:hAnsi="Arial" w:cs="Arial"/>
        </w:rPr>
        <w:t xml:space="preserve">La Banca, peraltro, pur confermando la validità delle scelte contabili effettuate in occasione </w:t>
      </w:r>
      <w:r>
        <w:rPr>
          <w:rFonts w:ascii="Arial" w:hAnsi="Arial" w:cs="Arial"/>
        </w:rPr>
        <w:t xml:space="preserve">del </w:t>
      </w:r>
      <w:proofErr w:type="spellStart"/>
      <w:r w:rsidRPr="00D32901">
        <w:rPr>
          <w:rFonts w:ascii="Arial" w:hAnsi="Arial" w:cs="Arial"/>
          <w:i/>
        </w:rPr>
        <w:t>restatement</w:t>
      </w:r>
      <w:proofErr w:type="spellEnd"/>
      <w:r w:rsidRPr="00E15C25">
        <w:rPr>
          <w:rFonts w:ascii="Arial" w:hAnsi="Arial" w:cs="Arial"/>
        </w:rPr>
        <w:t xml:space="preserve"> del 2012 e negli esercizi successivi, stante il quadro informativo </w:t>
      </w:r>
      <w:r w:rsidRPr="00D32901">
        <w:rPr>
          <w:rFonts w:ascii="Arial" w:hAnsi="Arial" w:cs="Arial"/>
          <w:i/>
        </w:rPr>
        <w:t>pro tempore</w:t>
      </w:r>
      <w:r w:rsidRPr="00E15C25">
        <w:rPr>
          <w:rFonts w:ascii="Arial" w:hAnsi="Arial" w:cs="Arial"/>
        </w:rPr>
        <w:t xml:space="preserve"> disponibile, preso atto, da un lato, della valutazione</w:t>
      </w:r>
      <w:r w:rsidR="00DC4298">
        <w:rPr>
          <w:rFonts w:ascii="Arial" w:hAnsi="Arial" w:cs="Arial"/>
        </w:rPr>
        <w:t xml:space="preserve"> cui è pervenuta l’Autorità di v</w:t>
      </w:r>
      <w:r w:rsidRPr="00E15C25">
        <w:rPr>
          <w:rFonts w:ascii="Arial" w:hAnsi="Arial" w:cs="Arial"/>
        </w:rPr>
        <w:t>igilanza ad esito della propria interpretazione del materiale emerso</w:t>
      </w:r>
      <w:r w:rsidR="00BE3BB7">
        <w:rPr>
          <w:rFonts w:ascii="Arial" w:hAnsi="Arial" w:cs="Arial"/>
        </w:rPr>
        <w:t xml:space="preserve"> recentemente</w:t>
      </w:r>
      <w:r w:rsidRPr="00E15C25">
        <w:rPr>
          <w:rFonts w:ascii="Arial" w:hAnsi="Arial" w:cs="Arial"/>
        </w:rPr>
        <w:t xml:space="preserve"> dalle indagini penali e, dall’altro lato, del fatto che l’operazione Alexandria</w:t>
      </w:r>
      <w:r w:rsidR="00D32901">
        <w:rPr>
          <w:rFonts w:ascii="Arial" w:hAnsi="Arial" w:cs="Arial"/>
        </w:rPr>
        <w:t>, come detto,</w:t>
      </w:r>
      <w:r w:rsidRPr="00E15C25">
        <w:rPr>
          <w:rFonts w:ascii="Arial" w:hAnsi="Arial" w:cs="Arial"/>
        </w:rPr>
        <w:t xml:space="preserve"> è stata chiusa nel corso del 2015 (sicché la rappresentazione contabile come derivato CDS non produce effetti sulla situazione reddituale prospettica della Banca), </w:t>
      </w:r>
      <w:r w:rsidR="00614B77">
        <w:rPr>
          <w:rFonts w:ascii="Arial" w:hAnsi="Arial" w:cs="Arial"/>
        </w:rPr>
        <w:t>e considerata altresì</w:t>
      </w:r>
      <w:r w:rsidRPr="00E15C25">
        <w:rPr>
          <w:rFonts w:ascii="Arial" w:hAnsi="Arial" w:cs="Arial"/>
        </w:rPr>
        <w:t xml:space="preserve"> la controvertibilità di un’interpretazione, quale quella sulla “reale volontà delle parti” nella definizione di un negozio giuridico, connotata da </w:t>
      </w:r>
      <w:r w:rsidR="00614B77">
        <w:rPr>
          <w:rFonts w:ascii="Arial" w:hAnsi="Arial" w:cs="Arial"/>
        </w:rPr>
        <w:t>ineliminabili</w:t>
      </w:r>
      <w:r w:rsidRPr="00E15C25">
        <w:rPr>
          <w:rFonts w:ascii="Arial" w:hAnsi="Arial" w:cs="Arial"/>
        </w:rPr>
        <w:t xml:space="preserve"> elementi di soggettività,</w:t>
      </w:r>
      <w:r w:rsidR="00614B77">
        <w:rPr>
          <w:rFonts w:ascii="Arial" w:hAnsi="Arial" w:cs="Arial"/>
        </w:rPr>
        <w:t xml:space="preserve"> ritiene</w:t>
      </w:r>
      <w:r w:rsidRPr="00E15C25">
        <w:rPr>
          <w:rFonts w:ascii="Arial" w:hAnsi="Arial" w:cs="Arial"/>
        </w:rPr>
        <w:t xml:space="preserve"> </w:t>
      </w:r>
      <w:r w:rsidR="00BE3BB7">
        <w:rPr>
          <w:rFonts w:ascii="Arial" w:hAnsi="Arial" w:cs="Arial"/>
        </w:rPr>
        <w:t>di</w:t>
      </w:r>
      <w:r w:rsidRPr="00E15C25">
        <w:rPr>
          <w:rFonts w:ascii="Arial" w:hAnsi="Arial" w:cs="Arial"/>
        </w:rPr>
        <w:t xml:space="preserve"> attenersi alle indicazioni dell’Autorità di Vigilanza contenute nella Delibera e, dunque, uniformarsi al contenuto della </w:t>
      </w:r>
      <w:r w:rsidR="001F7C75">
        <w:rPr>
          <w:rFonts w:ascii="Arial" w:hAnsi="Arial" w:cs="Arial"/>
        </w:rPr>
        <w:t>stessa</w:t>
      </w:r>
      <w:r w:rsidRPr="00E15C25">
        <w:rPr>
          <w:rFonts w:ascii="Arial" w:hAnsi="Arial" w:cs="Arial"/>
        </w:rPr>
        <w:t xml:space="preserve">. </w:t>
      </w:r>
    </w:p>
    <w:p w:rsidR="00E15C25" w:rsidRPr="00E15C25" w:rsidRDefault="00E15C25" w:rsidP="00E15C25">
      <w:pPr>
        <w:spacing w:line="360" w:lineRule="auto"/>
        <w:jc w:val="both"/>
        <w:rPr>
          <w:rFonts w:ascii="Arial" w:hAnsi="Arial" w:cs="Arial"/>
        </w:rPr>
      </w:pPr>
      <w:r w:rsidRPr="00E15C25">
        <w:rPr>
          <w:rFonts w:ascii="Arial" w:hAnsi="Arial" w:cs="Arial"/>
        </w:rPr>
        <w:lastRenderedPageBreak/>
        <w:t xml:space="preserve">In relazione al secondo aspetto, la Banca precisa che i prospetti pro-forma allegati al presente Comunicato riflettono, come peraltro riconosciuto dalla stessa </w:t>
      </w:r>
      <w:proofErr w:type="spellStart"/>
      <w:r>
        <w:rPr>
          <w:rFonts w:ascii="Arial" w:hAnsi="Arial" w:cs="Arial"/>
        </w:rPr>
        <w:t>Consob</w:t>
      </w:r>
      <w:proofErr w:type="spellEnd"/>
      <w:r w:rsidRPr="00E15C25">
        <w:rPr>
          <w:rFonts w:ascii="Arial" w:hAnsi="Arial" w:cs="Arial"/>
        </w:rPr>
        <w:t>, informazioni già comunicate al pubblico da BMPS in occasione della pubblicazione del bilancio consolidato e d’esercizio 2014 e della relazione finanziaria semestrale al 30 giugno 2015, avvenute rispettivamente in date 18.03.2015 e 12.08.2015. La Banca precisa altresì che, a far data dalla pubblicazione del bilancio consolidato e d’esercizio chiuso il 31 dicembre 2012, ha comunicato, con la pubblicazione di appositi pro-forma inseriti nei bilanci d</w:t>
      </w:r>
      <w:r w:rsidR="00D43058">
        <w:rPr>
          <w:rFonts w:ascii="Arial" w:hAnsi="Arial" w:cs="Arial"/>
        </w:rPr>
        <w:t>’esercizio e consolidato e nelle</w:t>
      </w:r>
      <w:r w:rsidRPr="00E15C25">
        <w:rPr>
          <w:rFonts w:ascii="Arial" w:hAnsi="Arial" w:cs="Arial"/>
        </w:rPr>
        <w:t xml:space="preserve"> </w:t>
      </w:r>
      <w:r w:rsidR="00D43058">
        <w:rPr>
          <w:rFonts w:ascii="Arial" w:hAnsi="Arial" w:cs="Arial"/>
        </w:rPr>
        <w:t xml:space="preserve">relazioni </w:t>
      </w:r>
      <w:proofErr w:type="spellStart"/>
      <w:r w:rsidR="00D43058">
        <w:rPr>
          <w:rFonts w:ascii="Arial" w:hAnsi="Arial" w:cs="Arial"/>
        </w:rPr>
        <w:t>infrannuali</w:t>
      </w:r>
      <w:proofErr w:type="spellEnd"/>
      <w:r w:rsidRPr="00E15C25">
        <w:rPr>
          <w:rFonts w:ascii="Arial" w:hAnsi="Arial" w:cs="Arial"/>
        </w:rPr>
        <w:t>, gli effetti della contabilizzazione a saldi chiusi dell’operazione Alexandria sulla situazione patrimoniale, sul conto economico nonché sul</w:t>
      </w:r>
      <w:r w:rsidR="009C3A45">
        <w:rPr>
          <w:rFonts w:ascii="Arial" w:hAnsi="Arial" w:cs="Arial"/>
        </w:rPr>
        <w:t xml:space="preserve"> patrimonio netto</w:t>
      </w:r>
      <w:r w:rsidRPr="00E15C25">
        <w:rPr>
          <w:rFonts w:ascii="Arial" w:hAnsi="Arial" w:cs="Arial"/>
        </w:rPr>
        <w:t xml:space="preserve"> di BMPS.</w:t>
      </w:r>
    </w:p>
    <w:p w:rsidR="00B93474" w:rsidRPr="00C110BB" w:rsidRDefault="00E15C25" w:rsidP="00D32901">
      <w:pPr>
        <w:spacing w:line="360" w:lineRule="auto"/>
        <w:jc w:val="both"/>
        <w:rPr>
          <w:rFonts w:ascii="Arial" w:hAnsi="Arial" w:cs="Arial"/>
          <w:i/>
        </w:rPr>
      </w:pPr>
      <w:r w:rsidRPr="00E15C25">
        <w:rPr>
          <w:rFonts w:ascii="Arial" w:hAnsi="Arial" w:cs="Arial"/>
        </w:rPr>
        <w:t xml:space="preserve">Ciò premesso, in osservanza a quanto disposto da </w:t>
      </w:r>
      <w:proofErr w:type="spellStart"/>
      <w:r>
        <w:rPr>
          <w:rFonts w:ascii="Arial" w:hAnsi="Arial" w:cs="Arial"/>
        </w:rPr>
        <w:t>C</w:t>
      </w:r>
      <w:r w:rsidR="00D43058">
        <w:rPr>
          <w:rFonts w:ascii="Arial" w:hAnsi="Arial" w:cs="Arial"/>
        </w:rPr>
        <w:t>onsob</w:t>
      </w:r>
      <w:proofErr w:type="spellEnd"/>
      <w:r w:rsidRPr="00E15C25">
        <w:rPr>
          <w:rFonts w:ascii="Arial" w:hAnsi="Arial" w:cs="Arial"/>
        </w:rPr>
        <w:t xml:space="preserve">, si provvede a fornire al pubblico le informazioni che l’Autorità di Vigilanza ha richiesto alla Banca di diffondere. </w:t>
      </w:r>
    </w:p>
    <w:p w:rsidR="00E15C25" w:rsidRDefault="00E15C25" w:rsidP="0073015E">
      <w:pPr>
        <w:spacing w:line="360" w:lineRule="auto"/>
        <w:jc w:val="center"/>
        <w:rPr>
          <w:rFonts w:ascii="Arial" w:hAnsi="Arial" w:cs="Arial"/>
        </w:rPr>
      </w:pPr>
    </w:p>
    <w:p w:rsidR="00B93474" w:rsidRDefault="00B93474" w:rsidP="0073015E">
      <w:pPr>
        <w:spacing w:line="360" w:lineRule="auto"/>
        <w:jc w:val="center"/>
        <w:rPr>
          <w:rFonts w:ascii="Arial" w:hAnsi="Arial" w:cs="Arial"/>
        </w:rPr>
      </w:pPr>
      <w:r w:rsidRPr="00844FFD">
        <w:rPr>
          <w:rFonts w:ascii="Arial" w:hAnsi="Arial" w:cs="Arial"/>
        </w:rPr>
        <w:t>* * *</w:t>
      </w:r>
    </w:p>
    <w:p w:rsidR="00B93474" w:rsidRPr="00844FFD" w:rsidRDefault="00B93474" w:rsidP="00844FFD">
      <w:pPr>
        <w:spacing w:line="360" w:lineRule="auto"/>
        <w:jc w:val="both"/>
        <w:rPr>
          <w:rFonts w:ascii="Arial" w:hAnsi="Arial" w:cs="Arial"/>
        </w:rPr>
      </w:pPr>
    </w:p>
    <w:p w:rsidR="00B93474" w:rsidRPr="00D32901" w:rsidRDefault="00B93474" w:rsidP="00E75D7F">
      <w:pPr>
        <w:pStyle w:val="Paragrafoelenco"/>
        <w:numPr>
          <w:ilvl w:val="0"/>
          <w:numId w:val="24"/>
        </w:numPr>
        <w:spacing w:line="360" w:lineRule="auto"/>
        <w:jc w:val="both"/>
        <w:rPr>
          <w:rFonts w:ascii="Arial" w:hAnsi="Arial" w:cs="Arial"/>
          <w:b/>
          <w:sz w:val="24"/>
        </w:rPr>
      </w:pPr>
      <w:r w:rsidRPr="00D32901">
        <w:rPr>
          <w:rFonts w:ascii="Arial" w:hAnsi="Arial" w:cs="Arial"/>
          <w:b/>
          <w:sz w:val="24"/>
        </w:rPr>
        <w:t>DESCRIZIONE DEI PRINCIPI CONTABILI INTERNAZIONALI APPLICABILI E VIOLAZIONI RISCONTRATE AL RIGUARDO</w:t>
      </w:r>
    </w:p>
    <w:p w:rsidR="00B93474" w:rsidRDefault="00B93474" w:rsidP="00844FFD">
      <w:pPr>
        <w:spacing w:line="360" w:lineRule="auto"/>
        <w:jc w:val="both"/>
        <w:rPr>
          <w:rFonts w:ascii="Arial" w:hAnsi="Arial" w:cs="Arial"/>
          <w:b/>
        </w:rPr>
      </w:pPr>
    </w:p>
    <w:p w:rsidR="00B93474" w:rsidRPr="00D32901" w:rsidRDefault="00116B35" w:rsidP="00E75D7F">
      <w:pPr>
        <w:pStyle w:val="Paragrafoelenco"/>
        <w:numPr>
          <w:ilvl w:val="1"/>
          <w:numId w:val="25"/>
        </w:numPr>
        <w:spacing w:line="360" w:lineRule="auto"/>
        <w:jc w:val="both"/>
        <w:rPr>
          <w:rFonts w:ascii="Arial" w:hAnsi="Arial" w:cs="Arial"/>
          <w:b/>
          <w:sz w:val="24"/>
        </w:rPr>
      </w:pPr>
      <w:r>
        <w:rPr>
          <w:rFonts w:ascii="Arial" w:hAnsi="Arial" w:cs="Arial"/>
          <w:b/>
          <w:sz w:val="24"/>
        </w:rPr>
        <w:t>B</w:t>
      </w:r>
      <w:r w:rsidR="00B93474" w:rsidRPr="00D32901">
        <w:rPr>
          <w:rFonts w:ascii="Arial" w:hAnsi="Arial" w:cs="Arial"/>
          <w:b/>
          <w:sz w:val="24"/>
        </w:rPr>
        <w:t>reve descrizione dell’operazione e del trattamento contabile seguito</w:t>
      </w:r>
    </w:p>
    <w:p w:rsidR="00B93474" w:rsidRDefault="00B93474" w:rsidP="00844FFD">
      <w:pPr>
        <w:spacing w:line="360" w:lineRule="auto"/>
        <w:jc w:val="both"/>
        <w:rPr>
          <w:rFonts w:ascii="Arial" w:hAnsi="Arial" w:cs="Arial"/>
          <w:b/>
        </w:rPr>
      </w:pPr>
    </w:p>
    <w:p w:rsidR="00B93474" w:rsidRPr="007A0B4B" w:rsidRDefault="00B93474" w:rsidP="007A0B4B">
      <w:pPr>
        <w:spacing w:line="360" w:lineRule="auto"/>
        <w:jc w:val="both"/>
        <w:rPr>
          <w:rFonts w:ascii="Arial" w:hAnsi="Arial" w:cs="Arial"/>
        </w:rPr>
      </w:pPr>
      <w:r>
        <w:rPr>
          <w:rFonts w:ascii="Arial" w:hAnsi="Arial" w:cs="Arial"/>
        </w:rPr>
        <w:t>N</w:t>
      </w:r>
      <w:r w:rsidRPr="007A0B4B">
        <w:rPr>
          <w:rFonts w:ascii="Arial" w:hAnsi="Arial" w:cs="Arial"/>
        </w:rPr>
        <w:t xml:space="preserve">el 2009 sono state concluse con </w:t>
      </w:r>
      <w:proofErr w:type="spellStart"/>
      <w:r w:rsidRPr="007A0B4B">
        <w:rPr>
          <w:rFonts w:ascii="Arial" w:hAnsi="Arial" w:cs="Arial"/>
        </w:rPr>
        <w:t>Nomura</w:t>
      </w:r>
      <w:proofErr w:type="spellEnd"/>
      <w:r>
        <w:rPr>
          <w:rFonts w:ascii="Arial" w:hAnsi="Arial" w:cs="Arial"/>
        </w:rPr>
        <w:t xml:space="preserve"> </w:t>
      </w:r>
      <w:r w:rsidRPr="007A0B4B">
        <w:rPr>
          <w:rFonts w:ascii="Arial" w:hAnsi="Arial" w:cs="Arial"/>
        </w:rPr>
        <w:t>una serie di transazioni. In particolare:</w:t>
      </w:r>
    </w:p>
    <w:p w:rsidR="00B93474" w:rsidRPr="009B0999" w:rsidRDefault="00B93474" w:rsidP="009B0999">
      <w:pPr>
        <w:pStyle w:val="Paragrafoelenco"/>
        <w:numPr>
          <w:ilvl w:val="0"/>
          <w:numId w:val="23"/>
        </w:numPr>
        <w:spacing w:line="360" w:lineRule="auto"/>
        <w:jc w:val="both"/>
        <w:rPr>
          <w:rFonts w:ascii="Arial" w:hAnsi="Arial" w:cs="Arial"/>
          <w:sz w:val="24"/>
        </w:rPr>
      </w:pPr>
      <w:r w:rsidRPr="009B0999">
        <w:rPr>
          <w:rFonts w:ascii="Arial" w:hAnsi="Arial" w:cs="Arial"/>
          <w:sz w:val="24"/>
        </w:rPr>
        <w:t xml:space="preserve">acquisto di BTP per nominali 3.050 mln di euro con scadenza 2034. L’acquisto dei BTP è avvenuto attraverso un </w:t>
      </w:r>
      <w:proofErr w:type="spellStart"/>
      <w:r w:rsidRPr="009B0999">
        <w:rPr>
          <w:rFonts w:ascii="Arial" w:hAnsi="Arial" w:cs="Arial"/>
          <w:i/>
          <w:sz w:val="24"/>
        </w:rPr>
        <w:t>asset</w:t>
      </w:r>
      <w:proofErr w:type="spellEnd"/>
      <w:r w:rsidRPr="009B0999">
        <w:rPr>
          <w:rFonts w:ascii="Arial" w:hAnsi="Arial" w:cs="Arial"/>
          <w:i/>
          <w:sz w:val="24"/>
        </w:rPr>
        <w:t xml:space="preserve"> swap </w:t>
      </w:r>
      <w:proofErr w:type="spellStart"/>
      <w:r w:rsidRPr="009B0999">
        <w:rPr>
          <w:rFonts w:ascii="Arial" w:hAnsi="Arial" w:cs="Arial"/>
          <w:i/>
          <w:sz w:val="24"/>
        </w:rPr>
        <w:t>transaction</w:t>
      </w:r>
      <w:proofErr w:type="spellEnd"/>
      <w:r w:rsidRPr="009B0999">
        <w:rPr>
          <w:rFonts w:ascii="Arial" w:hAnsi="Arial" w:cs="Arial"/>
          <w:sz w:val="24"/>
        </w:rPr>
        <w:t xml:space="preserve"> composta da acquisti a termine di BTP e da </w:t>
      </w:r>
      <w:proofErr w:type="spellStart"/>
      <w:r w:rsidRPr="009B0999">
        <w:rPr>
          <w:rFonts w:ascii="Arial" w:hAnsi="Arial" w:cs="Arial"/>
          <w:i/>
          <w:sz w:val="24"/>
        </w:rPr>
        <w:t>interest</w:t>
      </w:r>
      <w:proofErr w:type="spellEnd"/>
      <w:r w:rsidRPr="009B0999">
        <w:rPr>
          <w:rFonts w:ascii="Arial" w:hAnsi="Arial" w:cs="Arial"/>
          <w:i/>
          <w:sz w:val="24"/>
        </w:rPr>
        <w:t xml:space="preserve"> rate swap</w:t>
      </w:r>
      <w:r w:rsidRPr="009B0999">
        <w:rPr>
          <w:rFonts w:ascii="Arial" w:hAnsi="Arial" w:cs="Arial"/>
          <w:sz w:val="24"/>
        </w:rPr>
        <w:t xml:space="preserve">, per effetto dei quali BMPS si è impegnata a pagare la cedola fissa incassata sui BTP in cambio di un interesse commisurato al tasso </w:t>
      </w:r>
      <w:proofErr w:type="spellStart"/>
      <w:r w:rsidRPr="009B0999">
        <w:rPr>
          <w:rFonts w:ascii="Arial" w:hAnsi="Arial" w:cs="Arial"/>
          <w:sz w:val="24"/>
        </w:rPr>
        <w:t>Euribor</w:t>
      </w:r>
      <w:proofErr w:type="spellEnd"/>
      <w:r w:rsidRPr="009B0999">
        <w:rPr>
          <w:rFonts w:ascii="Arial" w:hAnsi="Arial" w:cs="Arial"/>
          <w:sz w:val="24"/>
        </w:rPr>
        <w:t xml:space="preserve"> 3m maggiorato di uno </w:t>
      </w:r>
      <w:r w:rsidRPr="000F2869">
        <w:rPr>
          <w:rFonts w:ascii="Arial" w:hAnsi="Arial" w:cs="Arial"/>
          <w:i/>
          <w:sz w:val="24"/>
        </w:rPr>
        <w:t>spread</w:t>
      </w:r>
      <w:r w:rsidRPr="009B0999">
        <w:rPr>
          <w:rFonts w:ascii="Arial" w:hAnsi="Arial" w:cs="Arial"/>
          <w:sz w:val="24"/>
        </w:rPr>
        <w:t>, calcolato su 3.050 mln di euro;</w:t>
      </w:r>
    </w:p>
    <w:p w:rsidR="00B93474" w:rsidRPr="009B0999" w:rsidRDefault="00B93474" w:rsidP="009B0999">
      <w:pPr>
        <w:pStyle w:val="Paragrafoelenco"/>
        <w:numPr>
          <w:ilvl w:val="0"/>
          <w:numId w:val="23"/>
        </w:numPr>
        <w:spacing w:line="360" w:lineRule="auto"/>
        <w:jc w:val="both"/>
        <w:rPr>
          <w:rFonts w:ascii="Arial" w:hAnsi="Arial" w:cs="Arial"/>
          <w:sz w:val="24"/>
        </w:rPr>
      </w:pPr>
      <w:r w:rsidRPr="009B0999">
        <w:rPr>
          <w:rFonts w:ascii="Arial" w:hAnsi="Arial" w:cs="Arial"/>
          <w:sz w:val="24"/>
        </w:rPr>
        <w:t>cessione a pronti di BTP aventi un valore nominale di 3.050 mln di euro, a fronte di un ammontare di cassa pari a 3.102 mln di euro quale corrispettivo comprensivo del rateo interessi maturato sui BTP sino alla data della transazione (</w:t>
      </w:r>
      <w:r w:rsidRPr="00A80AD8">
        <w:rPr>
          <w:rFonts w:ascii="Arial" w:hAnsi="Arial" w:cs="Arial"/>
          <w:i/>
          <w:sz w:val="24"/>
        </w:rPr>
        <w:t xml:space="preserve">long </w:t>
      </w:r>
      <w:proofErr w:type="spellStart"/>
      <w:r w:rsidRPr="00A80AD8">
        <w:rPr>
          <w:rFonts w:ascii="Arial" w:hAnsi="Arial" w:cs="Arial"/>
          <w:i/>
          <w:sz w:val="24"/>
        </w:rPr>
        <w:t>term</w:t>
      </w:r>
      <w:proofErr w:type="spellEnd"/>
      <w:r w:rsidRPr="00A80AD8">
        <w:rPr>
          <w:rFonts w:ascii="Arial" w:hAnsi="Arial" w:cs="Arial"/>
          <w:i/>
          <w:sz w:val="24"/>
        </w:rPr>
        <w:t xml:space="preserve"> </w:t>
      </w:r>
      <w:proofErr w:type="spellStart"/>
      <w:r w:rsidRPr="00A80AD8">
        <w:rPr>
          <w:rFonts w:ascii="Arial" w:hAnsi="Arial" w:cs="Arial"/>
          <w:i/>
          <w:sz w:val="24"/>
        </w:rPr>
        <w:t>repo</w:t>
      </w:r>
      <w:proofErr w:type="spellEnd"/>
      <w:r w:rsidRPr="009B0999">
        <w:rPr>
          <w:rFonts w:ascii="Arial" w:hAnsi="Arial" w:cs="Arial"/>
          <w:sz w:val="24"/>
        </w:rPr>
        <w:t xml:space="preserve"> con medesima scadenza dell’</w:t>
      </w:r>
      <w:proofErr w:type="spellStart"/>
      <w:r w:rsidRPr="00A80AD8">
        <w:rPr>
          <w:rFonts w:ascii="Arial" w:hAnsi="Arial" w:cs="Arial"/>
          <w:i/>
          <w:sz w:val="24"/>
        </w:rPr>
        <w:t>asset</w:t>
      </w:r>
      <w:proofErr w:type="spellEnd"/>
      <w:r w:rsidRPr="00A80AD8">
        <w:rPr>
          <w:rFonts w:ascii="Arial" w:hAnsi="Arial" w:cs="Arial"/>
          <w:i/>
          <w:sz w:val="24"/>
        </w:rPr>
        <w:t xml:space="preserve"> swap</w:t>
      </w:r>
      <w:r w:rsidRPr="009B0999">
        <w:rPr>
          <w:rFonts w:ascii="Arial" w:hAnsi="Arial" w:cs="Arial"/>
          <w:sz w:val="24"/>
        </w:rPr>
        <w:t xml:space="preserve"> su BTP al 2034) e impegno al riacquisto a termine da </w:t>
      </w:r>
      <w:proofErr w:type="spellStart"/>
      <w:r w:rsidRPr="009B0999">
        <w:rPr>
          <w:rFonts w:ascii="Arial" w:hAnsi="Arial" w:cs="Arial"/>
          <w:sz w:val="24"/>
        </w:rPr>
        <w:t>Nomura</w:t>
      </w:r>
      <w:proofErr w:type="spellEnd"/>
      <w:r w:rsidRPr="009B0999">
        <w:rPr>
          <w:rFonts w:ascii="Arial" w:hAnsi="Arial" w:cs="Arial"/>
          <w:sz w:val="24"/>
        </w:rPr>
        <w:t xml:space="preserve"> dei BTP 2034 per lo stesso valore nominale; lungo la durata del contratto, BMPS riconosce a </w:t>
      </w:r>
      <w:proofErr w:type="spellStart"/>
      <w:r w:rsidRPr="009B0999">
        <w:rPr>
          <w:rFonts w:ascii="Arial" w:hAnsi="Arial" w:cs="Arial"/>
          <w:sz w:val="24"/>
        </w:rPr>
        <w:t>Nomura</w:t>
      </w:r>
      <w:proofErr w:type="spellEnd"/>
      <w:r w:rsidRPr="009B0999">
        <w:rPr>
          <w:rFonts w:ascii="Arial" w:hAnsi="Arial" w:cs="Arial"/>
          <w:sz w:val="24"/>
        </w:rPr>
        <w:t xml:space="preserve"> un interesse commisurato al tasso </w:t>
      </w:r>
      <w:proofErr w:type="spellStart"/>
      <w:r w:rsidRPr="009B0999">
        <w:rPr>
          <w:rFonts w:ascii="Arial" w:hAnsi="Arial" w:cs="Arial"/>
          <w:sz w:val="24"/>
        </w:rPr>
        <w:t>Euribor</w:t>
      </w:r>
      <w:proofErr w:type="spellEnd"/>
      <w:r w:rsidRPr="009B0999">
        <w:rPr>
          <w:rFonts w:ascii="Arial" w:hAnsi="Arial" w:cs="Arial"/>
          <w:sz w:val="24"/>
        </w:rPr>
        <w:t xml:space="preserve"> 3m </w:t>
      </w:r>
      <w:r w:rsidRPr="009B0999">
        <w:rPr>
          <w:rFonts w:ascii="Arial" w:hAnsi="Arial" w:cs="Arial"/>
          <w:sz w:val="24"/>
        </w:rPr>
        <w:lastRenderedPageBreak/>
        <w:t xml:space="preserve">maggiorato di uno </w:t>
      </w:r>
      <w:r w:rsidRPr="00A80AD8">
        <w:rPr>
          <w:rFonts w:ascii="Arial" w:hAnsi="Arial" w:cs="Arial"/>
          <w:i/>
          <w:sz w:val="24"/>
        </w:rPr>
        <w:t>spread</w:t>
      </w:r>
      <w:r w:rsidRPr="009B0999">
        <w:rPr>
          <w:rFonts w:ascii="Arial" w:hAnsi="Arial" w:cs="Arial"/>
          <w:sz w:val="24"/>
        </w:rPr>
        <w:t xml:space="preserve"> calcolato sull’importo ricevuto e </w:t>
      </w:r>
      <w:proofErr w:type="spellStart"/>
      <w:r w:rsidRPr="009B0999">
        <w:rPr>
          <w:rFonts w:ascii="Arial" w:hAnsi="Arial" w:cs="Arial"/>
          <w:sz w:val="24"/>
        </w:rPr>
        <w:t>Nomura</w:t>
      </w:r>
      <w:proofErr w:type="spellEnd"/>
      <w:r w:rsidRPr="009B0999">
        <w:rPr>
          <w:rFonts w:ascii="Arial" w:hAnsi="Arial" w:cs="Arial"/>
          <w:sz w:val="24"/>
        </w:rPr>
        <w:t xml:space="preserve"> riconosce a BMPS </w:t>
      </w:r>
      <w:r w:rsidR="00E05BD1">
        <w:rPr>
          <w:rFonts w:ascii="Arial" w:hAnsi="Arial" w:cs="Arial"/>
          <w:sz w:val="24"/>
        </w:rPr>
        <w:t>l’importo del</w:t>
      </w:r>
      <w:r w:rsidRPr="009B0999">
        <w:rPr>
          <w:rFonts w:ascii="Arial" w:hAnsi="Arial" w:cs="Arial"/>
          <w:sz w:val="24"/>
        </w:rPr>
        <w:t xml:space="preserve">la </w:t>
      </w:r>
      <w:proofErr w:type="spellStart"/>
      <w:r w:rsidRPr="009B0999">
        <w:rPr>
          <w:rFonts w:ascii="Arial" w:hAnsi="Arial" w:cs="Arial"/>
          <w:sz w:val="24"/>
        </w:rPr>
        <w:t>cedola</w:t>
      </w:r>
      <w:r w:rsidR="00E05BD1">
        <w:rPr>
          <w:rFonts w:ascii="Arial" w:hAnsi="Arial" w:cs="Arial"/>
          <w:sz w:val="24"/>
        </w:rPr>
        <w:t>dei</w:t>
      </w:r>
      <w:proofErr w:type="spellEnd"/>
      <w:r w:rsidRPr="009B0999">
        <w:rPr>
          <w:rFonts w:ascii="Arial" w:hAnsi="Arial" w:cs="Arial"/>
          <w:sz w:val="24"/>
        </w:rPr>
        <w:t xml:space="preserve"> BTP 2034;</w:t>
      </w:r>
    </w:p>
    <w:p w:rsidR="00B93474" w:rsidRPr="00A80AD8" w:rsidRDefault="00B93474" w:rsidP="00A80AD8">
      <w:pPr>
        <w:pStyle w:val="Paragrafoelenco"/>
        <w:numPr>
          <w:ilvl w:val="0"/>
          <w:numId w:val="23"/>
        </w:numPr>
        <w:spacing w:line="360" w:lineRule="auto"/>
        <w:jc w:val="both"/>
        <w:rPr>
          <w:rFonts w:ascii="Arial" w:hAnsi="Arial" w:cs="Arial"/>
          <w:sz w:val="24"/>
        </w:rPr>
      </w:pPr>
      <w:r w:rsidRPr="00A80AD8">
        <w:rPr>
          <w:rFonts w:ascii="Arial" w:hAnsi="Arial" w:cs="Arial"/>
          <w:sz w:val="24"/>
        </w:rPr>
        <w:t xml:space="preserve">concessione di una </w:t>
      </w:r>
      <w:proofErr w:type="spellStart"/>
      <w:r w:rsidRPr="00A80AD8">
        <w:rPr>
          <w:rFonts w:ascii="Arial" w:hAnsi="Arial" w:cs="Arial"/>
          <w:i/>
          <w:sz w:val="24"/>
        </w:rPr>
        <w:t>repo</w:t>
      </w:r>
      <w:proofErr w:type="spellEnd"/>
      <w:r w:rsidRPr="00A80AD8">
        <w:rPr>
          <w:rFonts w:ascii="Arial" w:hAnsi="Arial" w:cs="Arial"/>
          <w:i/>
          <w:sz w:val="24"/>
        </w:rPr>
        <w:t xml:space="preserve"> </w:t>
      </w:r>
      <w:proofErr w:type="spellStart"/>
      <w:r w:rsidRPr="00A80AD8">
        <w:rPr>
          <w:rFonts w:ascii="Arial" w:hAnsi="Arial" w:cs="Arial"/>
          <w:i/>
          <w:sz w:val="24"/>
        </w:rPr>
        <w:t>facility</w:t>
      </w:r>
      <w:proofErr w:type="spellEnd"/>
      <w:r w:rsidRPr="00A80AD8">
        <w:rPr>
          <w:rFonts w:ascii="Arial" w:hAnsi="Arial" w:cs="Arial"/>
          <w:sz w:val="24"/>
        </w:rPr>
        <w:t xml:space="preserve"> a favore di </w:t>
      </w:r>
      <w:proofErr w:type="spellStart"/>
      <w:r w:rsidRPr="00A80AD8">
        <w:rPr>
          <w:rFonts w:ascii="Arial" w:hAnsi="Arial" w:cs="Arial"/>
          <w:sz w:val="24"/>
        </w:rPr>
        <w:t>Nomura</w:t>
      </w:r>
      <w:proofErr w:type="spellEnd"/>
      <w:r w:rsidRPr="00A80AD8">
        <w:rPr>
          <w:rFonts w:ascii="Arial" w:hAnsi="Arial" w:cs="Arial"/>
          <w:sz w:val="24"/>
        </w:rPr>
        <w:t xml:space="preserve"> con scadenza 1° settembre </w:t>
      </w:r>
      <w:smartTag w:uri="urn:schemas-microsoft-com:office:smarttags" w:element="metricconverter">
        <w:smartTagPr>
          <w:attr w:name="ProductID" w:val="2040, in"/>
        </w:smartTagPr>
        <w:r w:rsidRPr="00A80AD8">
          <w:rPr>
            <w:rFonts w:ascii="Arial" w:hAnsi="Arial" w:cs="Arial"/>
            <w:sz w:val="24"/>
          </w:rPr>
          <w:t>2040, in</w:t>
        </w:r>
      </w:smartTag>
      <w:r w:rsidRPr="00A80AD8">
        <w:rPr>
          <w:rFonts w:ascii="Arial" w:hAnsi="Arial" w:cs="Arial"/>
          <w:sz w:val="24"/>
        </w:rPr>
        <w:t xml:space="preserve"> base alla quale </w:t>
      </w:r>
      <w:proofErr w:type="spellStart"/>
      <w:r w:rsidRPr="00A80AD8">
        <w:rPr>
          <w:rFonts w:ascii="Arial" w:hAnsi="Arial" w:cs="Arial"/>
          <w:sz w:val="24"/>
        </w:rPr>
        <w:t>Nomura</w:t>
      </w:r>
      <w:proofErr w:type="spellEnd"/>
      <w:r w:rsidRPr="00A80AD8">
        <w:rPr>
          <w:rFonts w:ascii="Arial" w:hAnsi="Arial" w:cs="Arial"/>
          <w:sz w:val="24"/>
        </w:rPr>
        <w:t xml:space="preserve"> può utilizzare la linea di credito concessa, consegnando a BMPS BTP o titoli similari, sino ad un valore complessivo massimo di 3.050 mln di euro. BMPS percepisce da </w:t>
      </w:r>
      <w:proofErr w:type="spellStart"/>
      <w:r w:rsidRPr="00A80AD8">
        <w:rPr>
          <w:rFonts w:ascii="Arial" w:hAnsi="Arial" w:cs="Arial"/>
          <w:sz w:val="24"/>
        </w:rPr>
        <w:t>Nomura</w:t>
      </w:r>
      <w:proofErr w:type="spellEnd"/>
      <w:r w:rsidRPr="00A80AD8">
        <w:rPr>
          <w:rFonts w:ascii="Arial" w:hAnsi="Arial" w:cs="Arial"/>
          <w:sz w:val="24"/>
        </w:rPr>
        <w:t xml:space="preserve"> un interesse commisurato al tasso </w:t>
      </w:r>
      <w:proofErr w:type="spellStart"/>
      <w:r w:rsidRPr="00A80AD8">
        <w:rPr>
          <w:rFonts w:ascii="Arial" w:hAnsi="Arial" w:cs="Arial"/>
          <w:sz w:val="24"/>
        </w:rPr>
        <w:t>Euribor</w:t>
      </w:r>
      <w:proofErr w:type="spellEnd"/>
      <w:r w:rsidRPr="00A80AD8">
        <w:rPr>
          <w:rFonts w:ascii="Arial" w:hAnsi="Arial" w:cs="Arial"/>
          <w:sz w:val="24"/>
        </w:rPr>
        <w:t xml:space="preserve"> 3m calcolato su corrispettivo versato a </w:t>
      </w:r>
      <w:proofErr w:type="spellStart"/>
      <w:r w:rsidRPr="00A80AD8">
        <w:rPr>
          <w:rFonts w:ascii="Arial" w:hAnsi="Arial" w:cs="Arial"/>
          <w:sz w:val="24"/>
        </w:rPr>
        <w:t>Nomura</w:t>
      </w:r>
      <w:proofErr w:type="spellEnd"/>
      <w:r w:rsidRPr="00A80AD8">
        <w:rPr>
          <w:rFonts w:ascii="Arial" w:hAnsi="Arial" w:cs="Arial"/>
          <w:sz w:val="24"/>
        </w:rPr>
        <w:t xml:space="preserve"> a fronte della consegna di tali titoli, oltre a una commissione calcolata sull’ammontare della linea di credito concessa (3.050 mln di euro).</w:t>
      </w:r>
    </w:p>
    <w:p w:rsidR="00B93474" w:rsidRPr="007A0B4B" w:rsidRDefault="00B93474" w:rsidP="007A0B4B">
      <w:pPr>
        <w:spacing w:line="360" w:lineRule="auto"/>
        <w:jc w:val="both"/>
        <w:rPr>
          <w:rFonts w:ascii="Arial" w:hAnsi="Arial" w:cs="Arial"/>
        </w:rPr>
      </w:pPr>
      <w:r w:rsidRPr="007A0B4B">
        <w:rPr>
          <w:rFonts w:ascii="Arial" w:hAnsi="Arial" w:cs="Arial"/>
        </w:rPr>
        <w:t>I contratti posti in essere preved</w:t>
      </w:r>
      <w:r w:rsidR="00D32901">
        <w:rPr>
          <w:rFonts w:ascii="Arial" w:hAnsi="Arial" w:cs="Arial"/>
        </w:rPr>
        <w:t>evano</w:t>
      </w:r>
      <w:r w:rsidRPr="007A0B4B">
        <w:rPr>
          <w:rFonts w:ascii="Arial" w:hAnsi="Arial" w:cs="Arial"/>
        </w:rPr>
        <w:t xml:space="preserve"> che in caso di </w:t>
      </w:r>
      <w:r w:rsidRPr="00A80AD8">
        <w:rPr>
          <w:rFonts w:ascii="Arial" w:hAnsi="Arial" w:cs="Arial"/>
          <w:i/>
        </w:rPr>
        <w:t>default</w:t>
      </w:r>
      <w:r w:rsidRPr="007A0B4B">
        <w:rPr>
          <w:rFonts w:ascii="Arial" w:hAnsi="Arial" w:cs="Arial"/>
        </w:rPr>
        <w:t xml:space="preserve"> della Repubblica Italiana la</w:t>
      </w:r>
      <w:r>
        <w:rPr>
          <w:rFonts w:ascii="Arial" w:hAnsi="Arial" w:cs="Arial"/>
        </w:rPr>
        <w:t xml:space="preserve"> </w:t>
      </w:r>
      <w:r w:rsidRPr="007A0B4B">
        <w:rPr>
          <w:rFonts w:ascii="Arial" w:hAnsi="Arial" w:cs="Arial"/>
        </w:rPr>
        <w:t>controparte p</w:t>
      </w:r>
      <w:r w:rsidR="00144DD7">
        <w:rPr>
          <w:rFonts w:ascii="Arial" w:hAnsi="Arial" w:cs="Arial"/>
        </w:rPr>
        <w:t>otesse</w:t>
      </w:r>
      <w:r w:rsidRPr="007A0B4B">
        <w:rPr>
          <w:rFonts w:ascii="Arial" w:hAnsi="Arial" w:cs="Arial"/>
        </w:rPr>
        <w:t xml:space="preserve"> consegnare titoli del medesimo emittente ma differenti da quello oggetto del</w:t>
      </w:r>
      <w:r>
        <w:rPr>
          <w:rFonts w:ascii="Arial" w:hAnsi="Arial" w:cs="Arial"/>
        </w:rPr>
        <w:t xml:space="preserve"> </w:t>
      </w:r>
      <w:r w:rsidRPr="007A0B4B">
        <w:rPr>
          <w:rFonts w:ascii="Arial" w:hAnsi="Arial" w:cs="Arial"/>
        </w:rPr>
        <w:t xml:space="preserve">contratto di </w:t>
      </w:r>
      <w:proofErr w:type="spellStart"/>
      <w:r w:rsidRPr="00A80AD8">
        <w:rPr>
          <w:rFonts w:ascii="Arial" w:hAnsi="Arial" w:cs="Arial"/>
          <w:i/>
        </w:rPr>
        <w:t>repo</w:t>
      </w:r>
      <w:proofErr w:type="spellEnd"/>
      <w:r w:rsidRPr="007A0B4B">
        <w:rPr>
          <w:rFonts w:ascii="Arial" w:hAnsi="Arial" w:cs="Arial"/>
        </w:rPr>
        <w:t xml:space="preserve"> (c.d. </w:t>
      </w:r>
      <w:proofErr w:type="spellStart"/>
      <w:r w:rsidRPr="00A80AD8">
        <w:rPr>
          <w:rFonts w:ascii="Arial" w:hAnsi="Arial" w:cs="Arial"/>
          <w:i/>
        </w:rPr>
        <w:t>cheapest</w:t>
      </w:r>
      <w:proofErr w:type="spellEnd"/>
      <w:r w:rsidRPr="00A80AD8">
        <w:rPr>
          <w:rFonts w:ascii="Arial" w:hAnsi="Arial" w:cs="Arial"/>
          <w:i/>
        </w:rPr>
        <w:t xml:space="preserve"> to delivery option</w:t>
      </w:r>
      <w:r w:rsidRPr="007A0B4B">
        <w:rPr>
          <w:rFonts w:ascii="Arial" w:hAnsi="Arial" w:cs="Arial"/>
        </w:rPr>
        <w:t>).</w:t>
      </w:r>
    </w:p>
    <w:p w:rsidR="00B93474" w:rsidRDefault="00B93474" w:rsidP="007A0B4B">
      <w:pPr>
        <w:spacing w:line="360" w:lineRule="auto"/>
        <w:jc w:val="both"/>
        <w:rPr>
          <w:rFonts w:ascii="Arial" w:hAnsi="Arial" w:cs="Arial"/>
        </w:rPr>
      </w:pPr>
    </w:p>
    <w:p w:rsidR="00B93474" w:rsidRPr="007A0B4B" w:rsidRDefault="00B93474" w:rsidP="007A0B4B">
      <w:pPr>
        <w:spacing w:line="360" w:lineRule="auto"/>
        <w:jc w:val="both"/>
        <w:rPr>
          <w:rFonts w:ascii="Arial" w:hAnsi="Arial" w:cs="Arial"/>
        </w:rPr>
      </w:pPr>
      <w:r w:rsidRPr="007A0B4B">
        <w:rPr>
          <w:rFonts w:ascii="Arial" w:hAnsi="Arial" w:cs="Arial"/>
        </w:rPr>
        <w:t>Nelle rendicontazioni contabili, BMPS ha registrato l’operazione Alexandria considerando</w:t>
      </w:r>
      <w:r>
        <w:rPr>
          <w:rFonts w:ascii="Arial" w:hAnsi="Arial" w:cs="Arial"/>
        </w:rPr>
        <w:t xml:space="preserve"> </w:t>
      </w:r>
      <w:r w:rsidRPr="007A0B4B">
        <w:rPr>
          <w:rFonts w:ascii="Arial" w:hAnsi="Arial" w:cs="Arial"/>
        </w:rPr>
        <w:t xml:space="preserve">separatamente le singole componenti contrattuali, </w:t>
      </w:r>
      <w:r>
        <w:rPr>
          <w:rFonts w:ascii="Arial" w:hAnsi="Arial" w:cs="Arial"/>
        </w:rPr>
        <w:t>essendo</w:t>
      </w:r>
      <w:r w:rsidRPr="007A0B4B">
        <w:rPr>
          <w:rFonts w:ascii="Arial" w:hAnsi="Arial" w:cs="Arial"/>
        </w:rPr>
        <w:t xml:space="preserve"> tale modalità conforme ai principi</w:t>
      </w:r>
      <w:r>
        <w:rPr>
          <w:rFonts w:ascii="Arial" w:hAnsi="Arial" w:cs="Arial"/>
        </w:rPr>
        <w:t xml:space="preserve"> </w:t>
      </w:r>
      <w:r w:rsidRPr="007A0B4B">
        <w:rPr>
          <w:rFonts w:ascii="Arial" w:hAnsi="Arial" w:cs="Arial"/>
        </w:rPr>
        <w:t>contabili internazionali e in linea con la finalità economica</w:t>
      </w:r>
      <w:r>
        <w:rPr>
          <w:rFonts w:ascii="Arial" w:hAnsi="Arial" w:cs="Arial"/>
        </w:rPr>
        <w:t xml:space="preserve"> dell’operazione risultante dagli accordi stipulati e dagli atti interni relativi alle valutazioni sulla base delle quali </w:t>
      </w:r>
      <w:smartTag w:uri="urn:schemas-microsoft-com:office:smarttags" w:element="PersonName">
        <w:smartTagPr>
          <w:attr w:name="ProductID" w:val="La Banca"/>
        </w:smartTagPr>
        <w:r>
          <w:rPr>
            <w:rFonts w:ascii="Arial" w:hAnsi="Arial" w:cs="Arial"/>
          </w:rPr>
          <w:t>la Banca</w:t>
        </w:r>
      </w:smartTag>
      <w:r>
        <w:rPr>
          <w:rFonts w:ascii="Arial" w:hAnsi="Arial" w:cs="Arial"/>
        </w:rPr>
        <w:t xml:space="preserve"> aveva a suo tempo deciso di concludere l’operazione</w:t>
      </w:r>
      <w:r w:rsidRPr="007A0B4B">
        <w:rPr>
          <w:rFonts w:ascii="Arial" w:hAnsi="Arial" w:cs="Arial"/>
        </w:rPr>
        <w:t>. In particolare, ciò ha</w:t>
      </w:r>
      <w:r>
        <w:rPr>
          <w:rFonts w:ascii="Arial" w:hAnsi="Arial" w:cs="Arial"/>
        </w:rPr>
        <w:t xml:space="preserve"> </w:t>
      </w:r>
      <w:r w:rsidRPr="007A0B4B">
        <w:rPr>
          <w:rFonts w:ascii="Arial" w:hAnsi="Arial" w:cs="Arial"/>
        </w:rPr>
        <w:t>comportato la registrazione in bilancio:</w:t>
      </w:r>
    </w:p>
    <w:p w:rsidR="00B93474" w:rsidRPr="00217FAF" w:rsidRDefault="00B93474" w:rsidP="00217FAF">
      <w:pPr>
        <w:pStyle w:val="Paragrafoelenco"/>
        <w:numPr>
          <w:ilvl w:val="0"/>
          <w:numId w:val="19"/>
        </w:numPr>
        <w:spacing w:line="360" w:lineRule="auto"/>
        <w:jc w:val="both"/>
        <w:rPr>
          <w:rFonts w:ascii="Arial" w:hAnsi="Arial" w:cs="Arial"/>
          <w:sz w:val="24"/>
        </w:rPr>
      </w:pPr>
      <w:r w:rsidRPr="00217FAF">
        <w:rPr>
          <w:rFonts w:ascii="Arial" w:hAnsi="Arial" w:cs="Arial"/>
          <w:sz w:val="24"/>
        </w:rPr>
        <w:t>nell’attivo, tra gli investimenti iscritti nel portafoglio AFS, dei BTP;</w:t>
      </w:r>
    </w:p>
    <w:p w:rsidR="00B93474" w:rsidRPr="00217FAF" w:rsidRDefault="00B93474" w:rsidP="00217FAF">
      <w:pPr>
        <w:pStyle w:val="Paragrafoelenco"/>
        <w:numPr>
          <w:ilvl w:val="0"/>
          <w:numId w:val="19"/>
        </w:numPr>
        <w:spacing w:line="360" w:lineRule="auto"/>
        <w:jc w:val="both"/>
        <w:rPr>
          <w:rFonts w:ascii="Arial" w:hAnsi="Arial" w:cs="Arial"/>
          <w:sz w:val="24"/>
        </w:rPr>
      </w:pPr>
      <w:r w:rsidRPr="00217FAF">
        <w:rPr>
          <w:rFonts w:ascii="Arial" w:hAnsi="Arial" w:cs="Arial"/>
          <w:sz w:val="24"/>
        </w:rPr>
        <w:t>nel passivo, tra i debiti verso clientela, dei pronti contro termine passivi (</w:t>
      </w:r>
      <w:proofErr w:type="spellStart"/>
      <w:r w:rsidRPr="00E75D7F">
        <w:rPr>
          <w:rFonts w:ascii="Arial" w:hAnsi="Arial" w:cs="Arial"/>
          <w:i/>
          <w:sz w:val="24"/>
        </w:rPr>
        <w:t>repo</w:t>
      </w:r>
      <w:proofErr w:type="spellEnd"/>
      <w:r w:rsidRPr="00217FAF">
        <w:rPr>
          <w:rFonts w:ascii="Arial" w:hAnsi="Arial" w:cs="Arial"/>
          <w:sz w:val="24"/>
        </w:rPr>
        <w:t>);</w:t>
      </w:r>
    </w:p>
    <w:p w:rsidR="00B93474" w:rsidRPr="00217FAF" w:rsidRDefault="00B93474" w:rsidP="00217FAF">
      <w:pPr>
        <w:pStyle w:val="Paragrafoelenco"/>
        <w:numPr>
          <w:ilvl w:val="0"/>
          <w:numId w:val="19"/>
        </w:numPr>
        <w:spacing w:line="360" w:lineRule="auto"/>
        <w:jc w:val="both"/>
        <w:rPr>
          <w:rFonts w:ascii="Arial" w:hAnsi="Arial" w:cs="Arial"/>
          <w:sz w:val="24"/>
        </w:rPr>
      </w:pPr>
      <w:r w:rsidRPr="00217FAF">
        <w:rPr>
          <w:rFonts w:ascii="Arial" w:hAnsi="Arial" w:cs="Arial"/>
          <w:sz w:val="24"/>
        </w:rPr>
        <w:t xml:space="preserve">i contratti di </w:t>
      </w:r>
      <w:proofErr w:type="spellStart"/>
      <w:r w:rsidRPr="00E75D7F">
        <w:rPr>
          <w:rFonts w:ascii="Arial" w:hAnsi="Arial" w:cs="Arial"/>
          <w:i/>
          <w:sz w:val="24"/>
        </w:rPr>
        <w:t>interest</w:t>
      </w:r>
      <w:proofErr w:type="spellEnd"/>
      <w:r w:rsidRPr="00E75D7F">
        <w:rPr>
          <w:rFonts w:ascii="Arial" w:hAnsi="Arial" w:cs="Arial"/>
          <w:i/>
          <w:sz w:val="24"/>
        </w:rPr>
        <w:t xml:space="preserve"> rate swap</w:t>
      </w:r>
      <w:r>
        <w:rPr>
          <w:rFonts w:ascii="Arial" w:hAnsi="Arial" w:cs="Arial"/>
          <w:i/>
          <w:sz w:val="24"/>
        </w:rPr>
        <w:t xml:space="preserve"> </w:t>
      </w:r>
      <w:r w:rsidRPr="00217FAF">
        <w:rPr>
          <w:rFonts w:ascii="Arial" w:hAnsi="Arial" w:cs="Arial"/>
          <w:sz w:val="24"/>
        </w:rPr>
        <w:t xml:space="preserve">sono stati designati come </w:t>
      </w:r>
      <w:proofErr w:type="spellStart"/>
      <w:r w:rsidRPr="00E75D7F">
        <w:rPr>
          <w:rFonts w:ascii="Arial" w:hAnsi="Arial" w:cs="Arial"/>
          <w:i/>
          <w:sz w:val="24"/>
        </w:rPr>
        <w:t>hedging</w:t>
      </w:r>
      <w:proofErr w:type="spellEnd"/>
      <w:r w:rsidRPr="00E75D7F">
        <w:rPr>
          <w:rFonts w:ascii="Arial" w:hAnsi="Arial" w:cs="Arial"/>
          <w:i/>
          <w:sz w:val="24"/>
        </w:rPr>
        <w:t xml:space="preserve"> </w:t>
      </w:r>
      <w:proofErr w:type="spellStart"/>
      <w:r w:rsidRPr="00E75D7F">
        <w:rPr>
          <w:rFonts w:ascii="Arial" w:hAnsi="Arial" w:cs="Arial"/>
          <w:i/>
          <w:sz w:val="24"/>
        </w:rPr>
        <w:t>instrument</w:t>
      </w:r>
      <w:proofErr w:type="spellEnd"/>
      <w:r w:rsidRPr="00217FAF">
        <w:rPr>
          <w:rFonts w:ascii="Arial" w:hAnsi="Arial" w:cs="Arial"/>
          <w:sz w:val="24"/>
        </w:rPr>
        <w:t xml:space="preserve"> in altrettante relazioni di copertura del BTP.</w:t>
      </w:r>
    </w:p>
    <w:p w:rsidR="00B93474" w:rsidRPr="007A0B4B" w:rsidRDefault="00B93474" w:rsidP="007A0B4B">
      <w:pPr>
        <w:spacing w:line="360" w:lineRule="auto"/>
        <w:jc w:val="both"/>
        <w:rPr>
          <w:rFonts w:ascii="Arial" w:hAnsi="Arial" w:cs="Arial"/>
        </w:rPr>
      </w:pPr>
      <w:r w:rsidRPr="007A0B4B">
        <w:rPr>
          <w:rFonts w:ascii="Arial" w:hAnsi="Arial" w:cs="Arial"/>
        </w:rPr>
        <w:t xml:space="preserve">Nel bilancio 2009 la passività sub b) connessa con il </w:t>
      </w:r>
      <w:proofErr w:type="spellStart"/>
      <w:r w:rsidRPr="00E75D7F">
        <w:rPr>
          <w:rFonts w:ascii="Arial" w:hAnsi="Arial" w:cs="Arial"/>
          <w:i/>
        </w:rPr>
        <w:t>repo</w:t>
      </w:r>
      <w:proofErr w:type="spellEnd"/>
      <w:r w:rsidRPr="007A0B4B">
        <w:rPr>
          <w:rFonts w:ascii="Arial" w:hAnsi="Arial" w:cs="Arial"/>
        </w:rPr>
        <w:t xml:space="preserve"> è stata iscritta al valore di scambio dei</w:t>
      </w:r>
      <w:r>
        <w:rPr>
          <w:rFonts w:ascii="Arial" w:hAnsi="Arial" w:cs="Arial"/>
        </w:rPr>
        <w:t xml:space="preserve"> </w:t>
      </w:r>
      <w:r w:rsidRPr="007A0B4B">
        <w:rPr>
          <w:rFonts w:ascii="Arial" w:hAnsi="Arial" w:cs="Arial"/>
        </w:rPr>
        <w:t>BTP e successivamente valutata al costo ammortizzato.</w:t>
      </w:r>
    </w:p>
    <w:p w:rsidR="00B93474" w:rsidRPr="007A0B4B" w:rsidRDefault="00B93474" w:rsidP="007A0B4B">
      <w:pPr>
        <w:spacing w:line="360" w:lineRule="auto"/>
        <w:jc w:val="both"/>
        <w:rPr>
          <w:rFonts w:ascii="Arial" w:hAnsi="Arial" w:cs="Arial"/>
        </w:rPr>
      </w:pPr>
      <w:r w:rsidRPr="007A0B4B">
        <w:rPr>
          <w:rFonts w:ascii="Arial" w:hAnsi="Arial" w:cs="Arial"/>
        </w:rPr>
        <w:t>Nel febbraio 2013 il Consiglio di Amministrazione di BMPS, a seguito del rinvenimento di un</w:t>
      </w:r>
      <w:r>
        <w:rPr>
          <w:rFonts w:ascii="Arial" w:hAnsi="Arial" w:cs="Arial"/>
        </w:rPr>
        <w:t xml:space="preserve"> </w:t>
      </w:r>
      <w:r w:rsidRPr="007A0B4B">
        <w:rPr>
          <w:rFonts w:ascii="Arial" w:hAnsi="Arial" w:cs="Arial"/>
        </w:rPr>
        <w:t xml:space="preserve">contratto </w:t>
      </w:r>
      <w:r>
        <w:rPr>
          <w:rFonts w:ascii="Arial" w:hAnsi="Arial" w:cs="Arial"/>
        </w:rPr>
        <w:t>(</w:t>
      </w:r>
      <w:r w:rsidRPr="009559B7">
        <w:rPr>
          <w:rFonts w:ascii="Arial" w:hAnsi="Arial" w:cs="Arial"/>
          <w:i/>
        </w:rPr>
        <w:t>Mandate Agreement</w:t>
      </w:r>
      <w:r>
        <w:rPr>
          <w:rFonts w:ascii="Arial" w:hAnsi="Arial" w:cs="Arial"/>
        </w:rPr>
        <w:t xml:space="preserve">) </w:t>
      </w:r>
      <w:r w:rsidRPr="007A0B4B">
        <w:rPr>
          <w:rFonts w:ascii="Arial" w:hAnsi="Arial" w:cs="Arial"/>
        </w:rPr>
        <w:t>che chiariva il collegamento negoziale tra le summenzionate transazioni e la</w:t>
      </w:r>
      <w:r>
        <w:rPr>
          <w:rFonts w:ascii="Arial" w:hAnsi="Arial" w:cs="Arial"/>
        </w:rPr>
        <w:t xml:space="preserve"> </w:t>
      </w:r>
      <w:r w:rsidRPr="007A0B4B">
        <w:rPr>
          <w:rFonts w:ascii="Arial" w:hAnsi="Arial" w:cs="Arial"/>
        </w:rPr>
        <w:t xml:space="preserve">ristrutturazione di un investimento effettuato nel veicolo Alexandria Capital </w:t>
      </w:r>
      <w:proofErr w:type="spellStart"/>
      <w:r w:rsidRPr="007A0B4B">
        <w:rPr>
          <w:rFonts w:ascii="Arial" w:hAnsi="Arial" w:cs="Arial"/>
        </w:rPr>
        <w:t>plc</w:t>
      </w:r>
      <w:proofErr w:type="spellEnd"/>
      <w:r w:rsidRPr="007A0B4B">
        <w:rPr>
          <w:rFonts w:ascii="Arial" w:hAnsi="Arial" w:cs="Arial"/>
        </w:rPr>
        <w:t>, ha accertato che</w:t>
      </w:r>
      <w:r>
        <w:rPr>
          <w:rFonts w:ascii="Arial" w:hAnsi="Arial" w:cs="Arial"/>
        </w:rPr>
        <w:t xml:space="preserve"> </w:t>
      </w:r>
      <w:r w:rsidRPr="007A0B4B">
        <w:rPr>
          <w:rFonts w:ascii="Arial" w:hAnsi="Arial" w:cs="Arial"/>
        </w:rPr>
        <w:t>il</w:t>
      </w:r>
      <w:r w:rsidRPr="00E75D7F">
        <w:rPr>
          <w:rFonts w:ascii="Arial" w:hAnsi="Arial" w:cs="Arial"/>
          <w:i/>
        </w:rPr>
        <w:t xml:space="preserve"> </w:t>
      </w:r>
      <w:proofErr w:type="spellStart"/>
      <w:r w:rsidRPr="00E75D7F">
        <w:rPr>
          <w:rFonts w:ascii="Arial" w:hAnsi="Arial" w:cs="Arial"/>
          <w:i/>
        </w:rPr>
        <w:t>repo</w:t>
      </w:r>
      <w:proofErr w:type="spellEnd"/>
      <w:r w:rsidRPr="007A0B4B">
        <w:rPr>
          <w:rFonts w:ascii="Arial" w:hAnsi="Arial" w:cs="Arial"/>
        </w:rPr>
        <w:t xml:space="preserve"> passivo era stato inizialmente contabilizzato in violazione dei principi contabili</w:t>
      </w:r>
      <w:r>
        <w:rPr>
          <w:rFonts w:ascii="Arial" w:hAnsi="Arial" w:cs="Arial"/>
        </w:rPr>
        <w:t xml:space="preserve"> </w:t>
      </w:r>
      <w:r w:rsidRPr="007A0B4B">
        <w:rPr>
          <w:rFonts w:ascii="Arial" w:hAnsi="Arial" w:cs="Arial"/>
        </w:rPr>
        <w:t>internazionali. Tali passività erano state inizialmente iscritte per un valore inferiore di 308</w:t>
      </w:r>
      <w:r>
        <w:rPr>
          <w:rFonts w:ascii="Arial" w:hAnsi="Arial" w:cs="Arial"/>
        </w:rPr>
        <w:t xml:space="preserve"> </w:t>
      </w:r>
      <w:r w:rsidRPr="007A0B4B">
        <w:rPr>
          <w:rFonts w:ascii="Arial" w:hAnsi="Arial" w:cs="Arial"/>
        </w:rPr>
        <w:t xml:space="preserve">milioni di euro </w:t>
      </w:r>
      <w:r w:rsidR="00B43575">
        <w:rPr>
          <w:rFonts w:ascii="Arial" w:hAnsi="Arial" w:cs="Arial"/>
        </w:rPr>
        <w:t>rispetto al</w:t>
      </w:r>
      <w:r w:rsidRPr="007A0B4B">
        <w:rPr>
          <w:rFonts w:ascii="Arial" w:hAnsi="Arial" w:cs="Arial"/>
        </w:rPr>
        <w:t xml:space="preserve"> loro </w:t>
      </w:r>
      <w:r w:rsidRPr="00E75D7F">
        <w:rPr>
          <w:rFonts w:ascii="Arial" w:hAnsi="Arial" w:cs="Arial"/>
          <w:i/>
        </w:rPr>
        <w:t xml:space="preserve">fair </w:t>
      </w:r>
      <w:proofErr w:type="spellStart"/>
      <w:r w:rsidRPr="00E75D7F">
        <w:rPr>
          <w:rFonts w:ascii="Arial" w:hAnsi="Arial" w:cs="Arial"/>
          <w:i/>
        </w:rPr>
        <w:t>value</w:t>
      </w:r>
      <w:proofErr w:type="spellEnd"/>
      <w:r w:rsidRPr="007A0B4B">
        <w:rPr>
          <w:rFonts w:ascii="Arial" w:hAnsi="Arial" w:cs="Arial"/>
        </w:rPr>
        <w:t>. Tale differenza, rilevata in sede di redazione del bilancio</w:t>
      </w:r>
      <w:r>
        <w:rPr>
          <w:rFonts w:ascii="Arial" w:hAnsi="Arial" w:cs="Arial"/>
        </w:rPr>
        <w:t xml:space="preserve"> </w:t>
      </w:r>
      <w:r w:rsidRPr="007A0B4B">
        <w:rPr>
          <w:rFonts w:ascii="Arial" w:hAnsi="Arial" w:cs="Arial"/>
        </w:rPr>
        <w:t xml:space="preserve">2012, è stata corretta, in </w:t>
      </w:r>
      <w:r w:rsidRPr="007A0B4B">
        <w:rPr>
          <w:rFonts w:ascii="Arial" w:hAnsi="Arial" w:cs="Arial"/>
        </w:rPr>
        <w:lastRenderedPageBreak/>
        <w:t>applicazione del principio contabile IAS 8, tramite la rideterminazione del</w:t>
      </w:r>
      <w:r>
        <w:rPr>
          <w:rFonts w:ascii="Arial" w:hAnsi="Arial" w:cs="Arial"/>
        </w:rPr>
        <w:t xml:space="preserve"> </w:t>
      </w:r>
      <w:r w:rsidRPr="007A0B4B">
        <w:rPr>
          <w:rFonts w:ascii="Arial" w:hAnsi="Arial" w:cs="Arial"/>
        </w:rPr>
        <w:t>patrimonio netto di apertura dell’esercizio comparativo.</w:t>
      </w:r>
    </w:p>
    <w:p w:rsidR="00B93474" w:rsidRDefault="00B93474" w:rsidP="007A0B4B">
      <w:pPr>
        <w:spacing w:line="360" w:lineRule="auto"/>
        <w:jc w:val="both"/>
        <w:rPr>
          <w:rFonts w:ascii="Arial" w:hAnsi="Arial" w:cs="Arial"/>
        </w:rPr>
      </w:pPr>
      <w:r>
        <w:rPr>
          <w:rFonts w:ascii="Arial" w:hAnsi="Arial" w:cs="Arial"/>
        </w:rPr>
        <w:t xml:space="preserve">Effettuata </w:t>
      </w:r>
      <w:r w:rsidRPr="007A0B4B">
        <w:rPr>
          <w:rFonts w:ascii="Arial" w:hAnsi="Arial" w:cs="Arial"/>
        </w:rPr>
        <w:t>la summenzionata correzione dell’errore attinente al valore della passività connessa</w:t>
      </w:r>
      <w:r>
        <w:rPr>
          <w:rFonts w:ascii="Arial" w:hAnsi="Arial" w:cs="Arial"/>
        </w:rPr>
        <w:t xml:space="preserve"> </w:t>
      </w:r>
      <w:r w:rsidRPr="007A0B4B">
        <w:rPr>
          <w:rFonts w:ascii="Arial" w:hAnsi="Arial" w:cs="Arial"/>
        </w:rPr>
        <w:t xml:space="preserve">con il </w:t>
      </w:r>
      <w:proofErr w:type="spellStart"/>
      <w:r w:rsidRPr="00E75D7F">
        <w:rPr>
          <w:rFonts w:ascii="Arial" w:hAnsi="Arial" w:cs="Arial"/>
          <w:i/>
        </w:rPr>
        <w:t>repo</w:t>
      </w:r>
      <w:proofErr w:type="spellEnd"/>
      <w:r w:rsidRPr="007A0B4B">
        <w:rPr>
          <w:rFonts w:ascii="Arial" w:hAnsi="Arial" w:cs="Arial"/>
        </w:rPr>
        <w:t xml:space="preserve">, </w:t>
      </w:r>
      <w:smartTag w:uri="urn:schemas-microsoft-com:office:smarttags" w:element="PersonName">
        <w:smartTagPr>
          <w:attr w:name="ProductID" w:val="La Banca"/>
        </w:smartTagPr>
        <w:r w:rsidRPr="007A0B4B">
          <w:rPr>
            <w:rFonts w:ascii="Arial" w:hAnsi="Arial" w:cs="Arial"/>
          </w:rPr>
          <w:t>la Banca</w:t>
        </w:r>
      </w:smartTag>
      <w:r w:rsidRPr="007A0B4B">
        <w:rPr>
          <w:rFonts w:ascii="Arial" w:hAnsi="Arial" w:cs="Arial"/>
        </w:rPr>
        <w:t xml:space="preserve"> ha ritenuto </w:t>
      </w:r>
      <w:r>
        <w:rPr>
          <w:rFonts w:ascii="Arial" w:hAnsi="Arial" w:cs="Arial"/>
        </w:rPr>
        <w:t xml:space="preserve">la </w:t>
      </w:r>
      <w:r w:rsidRPr="007A0B4B">
        <w:rPr>
          <w:rFonts w:ascii="Arial" w:hAnsi="Arial" w:cs="Arial"/>
        </w:rPr>
        <w:t xml:space="preserve">contabilizzazione separata delle </w:t>
      </w:r>
      <w:r>
        <w:rPr>
          <w:rFonts w:ascii="Arial" w:hAnsi="Arial" w:cs="Arial"/>
        </w:rPr>
        <w:t xml:space="preserve">diverse componenti della </w:t>
      </w:r>
      <w:r w:rsidRPr="007A0B4B">
        <w:rPr>
          <w:rFonts w:ascii="Arial" w:hAnsi="Arial" w:cs="Arial"/>
        </w:rPr>
        <w:t>transazion</w:t>
      </w:r>
      <w:r>
        <w:rPr>
          <w:rFonts w:ascii="Arial" w:hAnsi="Arial" w:cs="Arial"/>
        </w:rPr>
        <w:t>e idonea</w:t>
      </w:r>
      <w:r w:rsidRPr="007A0B4B">
        <w:rPr>
          <w:rFonts w:ascii="Arial" w:hAnsi="Arial" w:cs="Arial"/>
        </w:rPr>
        <w:t xml:space="preserve"> a</w:t>
      </w:r>
      <w:r>
        <w:rPr>
          <w:rFonts w:ascii="Arial" w:hAnsi="Arial" w:cs="Arial"/>
        </w:rPr>
        <w:t xml:space="preserve"> </w:t>
      </w:r>
      <w:r w:rsidRPr="007A0B4B">
        <w:rPr>
          <w:rFonts w:ascii="Arial" w:hAnsi="Arial" w:cs="Arial"/>
        </w:rPr>
        <w:t>rappresentare correttamente le finalità economiche sottostanti, i flussi di cassa e i rischi</w:t>
      </w:r>
      <w:r>
        <w:rPr>
          <w:rFonts w:ascii="Arial" w:hAnsi="Arial" w:cs="Arial"/>
        </w:rPr>
        <w:t xml:space="preserve"> </w:t>
      </w:r>
      <w:r w:rsidRPr="007A0B4B">
        <w:rPr>
          <w:rFonts w:ascii="Arial" w:hAnsi="Arial" w:cs="Arial"/>
        </w:rPr>
        <w:t>connessi. In particolare,</w:t>
      </w:r>
      <w:r>
        <w:rPr>
          <w:rFonts w:ascii="Arial" w:hAnsi="Arial" w:cs="Arial"/>
        </w:rPr>
        <w:t xml:space="preserve"> come anticipato,</w:t>
      </w:r>
      <w:r w:rsidRPr="007A0B4B">
        <w:rPr>
          <w:rFonts w:ascii="Arial" w:hAnsi="Arial" w:cs="Arial"/>
        </w:rPr>
        <w:t xml:space="preserve"> tale approccio si fondava sull’esame della finalità economica</w:t>
      </w:r>
      <w:r>
        <w:rPr>
          <w:rFonts w:ascii="Arial" w:hAnsi="Arial" w:cs="Arial"/>
        </w:rPr>
        <w:t xml:space="preserve"> dell’operazione,</w:t>
      </w:r>
      <w:r w:rsidRPr="007A0B4B">
        <w:rPr>
          <w:rFonts w:ascii="Arial" w:hAnsi="Arial" w:cs="Arial"/>
        </w:rPr>
        <w:t xml:space="preserve"> che</w:t>
      </w:r>
      <w:r>
        <w:rPr>
          <w:rFonts w:ascii="Arial" w:hAnsi="Arial" w:cs="Arial"/>
        </w:rPr>
        <w:t xml:space="preserve"> </w:t>
      </w:r>
      <w:r w:rsidRPr="007A0B4B">
        <w:rPr>
          <w:rFonts w:ascii="Arial" w:hAnsi="Arial" w:cs="Arial"/>
        </w:rPr>
        <w:t>non era volta all’assunzione di un mero rischio di credito nei</w:t>
      </w:r>
      <w:r>
        <w:rPr>
          <w:rFonts w:ascii="Arial" w:hAnsi="Arial" w:cs="Arial"/>
        </w:rPr>
        <w:t xml:space="preserve"> </w:t>
      </w:r>
      <w:r w:rsidRPr="007A0B4B">
        <w:rPr>
          <w:rFonts w:ascii="Arial" w:hAnsi="Arial" w:cs="Arial"/>
        </w:rPr>
        <w:t>confronti della Repubblica Italiana, ma all’assunzione di una posizione in titoli di Stato.</w:t>
      </w:r>
    </w:p>
    <w:p w:rsidR="00B93474" w:rsidRPr="00BA0800" w:rsidRDefault="00B93474" w:rsidP="00BA0800">
      <w:pPr>
        <w:spacing w:line="360" w:lineRule="auto"/>
        <w:jc w:val="both"/>
        <w:rPr>
          <w:rFonts w:ascii="Arial" w:hAnsi="Arial" w:cs="Arial"/>
        </w:rPr>
      </w:pPr>
      <w:r>
        <w:rPr>
          <w:rFonts w:ascii="Arial" w:hAnsi="Arial" w:cs="Arial"/>
        </w:rPr>
        <w:t>Va al riguardo considerato che l’oggettiva complessità di definizione dell’inquadramento contabile di operazioni della specie dell’operazione Alexandria, in assenza di specifiche e puntuali indicazioni nei</w:t>
      </w:r>
      <w:r w:rsidRPr="00BA0800">
        <w:rPr>
          <w:rFonts w:ascii="Arial" w:hAnsi="Arial" w:cs="Arial"/>
        </w:rPr>
        <w:t xml:space="preserve"> principi contabili internazionali IAS/IFRS</w:t>
      </w:r>
      <w:r>
        <w:rPr>
          <w:rFonts w:ascii="Arial" w:hAnsi="Arial" w:cs="Arial"/>
        </w:rPr>
        <w:t xml:space="preserve"> sulle modalità di trattamento contabile di tali operazioni di finanza strutturata (in particolare, gli IAS/IFRS non dettano specifiche regole di rappresentazione contabile di operazioni della specie come </w:t>
      </w:r>
      <w:proofErr w:type="spellStart"/>
      <w:r w:rsidRPr="007771A9">
        <w:rPr>
          <w:rFonts w:ascii="Arial" w:hAnsi="Arial" w:cs="Arial"/>
          <w:i/>
        </w:rPr>
        <w:t>structured</w:t>
      </w:r>
      <w:proofErr w:type="spellEnd"/>
      <w:r w:rsidRPr="007771A9">
        <w:rPr>
          <w:rFonts w:ascii="Arial" w:hAnsi="Arial" w:cs="Arial"/>
          <w:i/>
        </w:rPr>
        <w:t xml:space="preserve"> </w:t>
      </w:r>
      <w:proofErr w:type="spellStart"/>
      <w:r w:rsidRPr="007771A9">
        <w:rPr>
          <w:rFonts w:ascii="Arial" w:hAnsi="Arial" w:cs="Arial"/>
          <w:i/>
        </w:rPr>
        <w:t>repo</w:t>
      </w:r>
      <w:proofErr w:type="spellEnd"/>
      <w:r>
        <w:rPr>
          <w:rFonts w:ascii="Arial" w:hAnsi="Arial" w:cs="Arial"/>
        </w:rPr>
        <w:t xml:space="preserve"> piuttosto che come derivato)</w:t>
      </w:r>
      <w:r w:rsidRPr="00BA0800">
        <w:rPr>
          <w:rFonts w:ascii="Arial" w:hAnsi="Arial" w:cs="Arial"/>
        </w:rPr>
        <w:t>,</w:t>
      </w:r>
      <w:r>
        <w:rPr>
          <w:rFonts w:ascii="Arial" w:hAnsi="Arial" w:cs="Arial"/>
        </w:rPr>
        <w:t xml:space="preserve"> è stata fin dall’inizio riconosciuta  dalle Autorità di vigilanza che, infatti,</w:t>
      </w:r>
      <w:r w:rsidRPr="00BA0800">
        <w:rPr>
          <w:rFonts w:ascii="Arial" w:hAnsi="Arial" w:cs="Arial"/>
        </w:rPr>
        <w:t xml:space="preserve"> </w:t>
      </w:r>
      <w:r>
        <w:rPr>
          <w:rFonts w:ascii="Arial" w:hAnsi="Arial" w:cs="Arial"/>
        </w:rPr>
        <w:t xml:space="preserve">con il documento congiunto </w:t>
      </w:r>
      <w:r w:rsidRPr="00BA0800">
        <w:rPr>
          <w:rFonts w:ascii="Arial" w:hAnsi="Arial" w:cs="Arial"/>
        </w:rPr>
        <w:t xml:space="preserve">Banca d’Italia, </w:t>
      </w:r>
      <w:proofErr w:type="spellStart"/>
      <w:r w:rsidR="00E15C25">
        <w:rPr>
          <w:rFonts w:ascii="Arial" w:hAnsi="Arial" w:cs="Arial"/>
        </w:rPr>
        <w:t>Consob</w:t>
      </w:r>
      <w:proofErr w:type="spellEnd"/>
      <w:r w:rsidRPr="00BA0800">
        <w:rPr>
          <w:rFonts w:ascii="Arial" w:hAnsi="Arial" w:cs="Arial"/>
        </w:rPr>
        <w:t xml:space="preserve"> ed</w:t>
      </w:r>
      <w:r>
        <w:rPr>
          <w:rFonts w:ascii="Arial" w:hAnsi="Arial" w:cs="Arial"/>
        </w:rPr>
        <w:t xml:space="preserve"> </w:t>
      </w:r>
      <w:r w:rsidRPr="00BA0800">
        <w:rPr>
          <w:rFonts w:ascii="Arial" w:hAnsi="Arial" w:cs="Arial"/>
        </w:rPr>
        <w:t xml:space="preserve">IVASS  n. 6 dell’8 marzo 2013 </w:t>
      </w:r>
      <w:r>
        <w:rPr>
          <w:rFonts w:ascii="Arial" w:hAnsi="Arial" w:cs="Arial"/>
        </w:rPr>
        <w:t xml:space="preserve">hanno da un lato rimesso alle valutazioni del </w:t>
      </w:r>
      <w:r w:rsidRPr="007771A9">
        <w:rPr>
          <w:rFonts w:ascii="Arial" w:hAnsi="Arial" w:cs="Arial"/>
          <w:i/>
        </w:rPr>
        <w:t>management</w:t>
      </w:r>
      <w:r>
        <w:rPr>
          <w:rFonts w:ascii="Arial" w:hAnsi="Arial" w:cs="Arial"/>
        </w:rPr>
        <w:t xml:space="preserve"> la determinazione, caso per caso, delle modalità di corretta rappresentazione contabile di tali operazioni, dall’altro </w:t>
      </w:r>
      <w:r w:rsidRPr="00BA0800">
        <w:rPr>
          <w:rFonts w:ascii="Arial" w:hAnsi="Arial" w:cs="Arial"/>
        </w:rPr>
        <w:t>richiesto di garantire un’adeguata informativa al pubblico in merito ai criteri</w:t>
      </w:r>
      <w:r>
        <w:rPr>
          <w:rFonts w:ascii="Arial" w:hAnsi="Arial" w:cs="Arial"/>
        </w:rPr>
        <w:t xml:space="preserve"> </w:t>
      </w:r>
      <w:r w:rsidRPr="00BA0800">
        <w:rPr>
          <w:rFonts w:ascii="Arial" w:hAnsi="Arial" w:cs="Arial"/>
        </w:rPr>
        <w:t xml:space="preserve">di </w:t>
      </w:r>
      <w:r>
        <w:rPr>
          <w:rFonts w:ascii="Arial" w:hAnsi="Arial" w:cs="Arial"/>
        </w:rPr>
        <w:t xml:space="preserve">loro </w:t>
      </w:r>
      <w:r w:rsidRPr="00BA0800">
        <w:rPr>
          <w:rFonts w:ascii="Arial" w:hAnsi="Arial" w:cs="Arial"/>
        </w:rPr>
        <w:t>rappresentazione</w:t>
      </w:r>
      <w:r>
        <w:rPr>
          <w:rFonts w:ascii="Arial" w:hAnsi="Arial" w:cs="Arial"/>
        </w:rPr>
        <w:t xml:space="preserve"> e</w:t>
      </w:r>
      <w:r w:rsidRPr="00BA0800">
        <w:rPr>
          <w:rFonts w:ascii="Arial" w:hAnsi="Arial" w:cs="Arial"/>
        </w:rPr>
        <w:t xml:space="preserve">, </w:t>
      </w:r>
      <w:r>
        <w:rPr>
          <w:rFonts w:ascii="Arial" w:hAnsi="Arial" w:cs="Arial"/>
        </w:rPr>
        <w:t xml:space="preserve">in particolare, </w:t>
      </w:r>
      <w:r w:rsidRPr="00BA0800">
        <w:rPr>
          <w:rFonts w:ascii="Arial" w:hAnsi="Arial" w:cs="Arial"/>
        </w:rPr>
        <w:t>agli impatti sulla situazione economica, patrimoniale e finanziaria, nonché</w:t>
      </w:r>
      <w:r>
        <w:rPr>
          <w:rFonts w:ascii="Arial" w:hAnsi="Arial" w:cs="Arial"/>
        </w:rPr>
        <w:t xml:space="preserve"> </w:t>
      </w:r>
      <w:r w:rsidRPr="00BA0800">
        <w:rPr>
          <w:rFonts w:ascii="Arial" w:hAnsi="Arial" w:cs="Arial"/>
        </w:rPr>
        <w:t>ai rischi sottesi e alle strategie di gestione di tali operazioni.</w:t>
      </w:r>
    </w:p>
    <w:p w:rsidR="00B93474" w:rsidRDefault="00B93474" w:rsidP="00BA0800">
      <w:pPr>
        <w:spacing w:line="360" w:lineRule="auto"/>
        <w:jc w:val="both"/>
        <w:rPr>
          <w:rFonts w:ascii="Arial" w:hAnsi="Arial" w:cs="Arial"/>
        </w:rPr>
      </w:pPr>
      <w:r w:rsidRPr="00BA0800">
        <w:rPr>
          <w:rFonts w:ascii="Arial" w:hAnsi="Arial" w:cs="Arial"/>
        </w:rPr>
        <w:t xml:space="preserve">In </w:t>
      </w:r>
      <w:r>
        <w:rPr>
          <w:rFonts w:ascii="Arial" w:hAnsi="Arial" w:cs="Arial"/>
        </w:rPr>
        <w:t>conformità a tali indicazioni, a decorrere dal bilancio relativo all’esercizio 2012,</w:t>
      </w:r>
      <w:r w:rsidRPr="00BA0800">
        <w:rPr>
          <w:rFonts w:ascii="Arial" w:hAnsi="Arial" w:cs="Arial"/>
        </w:rPr>
        <w:t xml:space="preserve"> la Banca</w:t>
      </w:r>
      <w:r>
        <w:rPr>
          <w:rFonts w:ascii="Arial" w:hAnsi="Arial" w:cs="Arial"/>
        </w:rPr>
        <w:t>, oltre alle informazioni contenute nei prospetti contabili, ha elaborato e inserito nell</w:t>
      </w:r>
      <w:r w:rsidR="00D43058">
        <w:rPr>
          <w:rFonts w:ascii="Arial" w:hAnsi="Arial" w:cs="Arial"/>
        </w:rPr>
        <w:t>e</w:t>
      </w:r>
      <w:r>
        <w:rPr>
          <w:rFonts w:ascii="Arial" w:hAnsi="Arial" w:cs="Arial"/>
        </w:rPr>
        <w:t xml:space="preserve"> rendicontazion</w:t>
      </w:r>
      <w:r w:rsidR="00D43058">
        <w:rPr>
          <w:rFonts w:ascii="Arial" w:hAnsi="Arial" w:cs="Arial"/>
        </w:rPr>
        <w:t xml:space="preserve">i annuali e </w:t>
      </w:r>
      <w:proofErr w:type="spellStart"/>
      <w:r w:rsidR="00D43058">
        <w:rPr>
          <w:rFonts w:ascii="Arial" w:hAnsi="Arial" w:cs="Arial"/>
        </w:rPr>
        <w:t>infrannuali</w:t>
      </w:r>
      <w:proofErr w:type="spellEnd"/>
      <w:r>
        <w:rPr>
          <w:rFonts w:ascii="Arial" w:hAnsi="Arial" w:cs="Arial"/>
        </w:rPr>
        <w:t xml:space="preserve"> appositi prospetti pro-forma,</w:t>
      </w:r>
      <w:r w:rsidRPr="00BA0800">
        <w:rPr>
          <w:rFonts w:ascii="Arial" w:hAnsi="Arial" w:cs="Arial"/>
        </w:rPr>
        <w:t xml:space="preserve"> </w:t>
      </w:r>
      <w:r>
        <w:rPr>
          <w:rFonts w:ascii="Arial" w:hAnsi="Arial" w:cs="Arial"/>
        </w:rPr>
        <w:t xml:space="preserve">nei quali </w:t>
      </w:r>
      <w:r w:rsidRPr="00BA0800">
        <w:rPr>
          <w:rFonts w:ascii="Arial" w:hAnsi="Arial" w:cs="Arial"/>
        </w:rPr>
        <w:t>ha</w:t>
      </w:r>
      <w:r>
        <w:rPr>
          <w:rFonts w:ascii="Arial" w:hAnsi="Arial" w:cs="Arial"/>
        </w:rPr>
        <w:t xml:space="preserve"> dettagliatamente</w:t>
      </w:r>
      <w:r w:rsidRPr="00BA0800">
        <w:rPr>
          <w:rFonts w:ascii="Arial" w:hAnsi="Arial" w:cs="Arial"/>
        </w:rPr>
        <w:t xml:space="preserve"> rappresentato gli impatti </w:t>
      </w:r>
      <w:r>
        <w:rPr>
          <w:rFonts w:ascii="Arial" w:hAnsi="Arial" w:cs="Arial"/>
        </w:rPr>
        <w:t>economici e patrimoniali dell’operazione Alexandria derivanti dalla</w:t>
      </w:r>
      <w:r w:rsidRPr="00BA0800">
        <w:rPr>
          <w:rFonts w:ascii="Arial" w:hAnsi="Arial" w:cs="Arial"/>
        </w:rPr>
        <w:t xml:space="preserve"> ipotesi in cui le summenzionate</w:t>
      </w:r>
      <w:r>
        <w:rPr>
          <w:rFonts w:ascii="Arial" w:hAnsi="Arial" w:cs="Arial"/>
        </w:rPr>
        <w:t xml:space="preserve"> </w:t>
      </w:r>
      <w:r w:rsidRPr="00BA0800">
        <w:rPr>
          <w:rFonts w:ascii="Arial" w:hAnsi="Arial" w:cs="Arial"/>
        </w:rPr>
        <w:t>transazioni fossero state aggregate e considerate come un’unica transazione</w:t>
      </w:r>
      <w:r>
        <w:rPr>
          <w:rFonts w:ascii="Arial" w:hAnsi="Arial" w:cs="Arial"/>
        </w:rPr>
        <w:t>, e cioè come derivato</w:t>
      </w:r>
      <w:r w:rsidRPr="00BA0800">
        <w:rPr>
          <w:rFonts w:ascii="Arial" w:hAnsi="Arial" w:cs="Arial"/>
        </w:rPr>
        <w:t>.</w:t>
      </w:r>
    </w:p>
    <w:p w:rsidR="00B93474" w:rsidRDefault="00B93474" w:rsidP="00BA0800">
      <w:pPr>
        <w:spacing w:line="360" w:lineRule="auto"/>
        <w:jc w:val="both"/>
        <w:rPr>
          <w:rFonts w:ascii="Arial" w:hAnsi="Arial" w:cs="Arial"/>
        </w:rPr>
      </w:pPr>
    </w:p>
    <w:p w:rsidR="008F3BC6" w:rsidRDefault="008F3BC6" w:rsidP="00BA0800">
      <w:pPr>
        <w:spacing w:line="360" w:lineRule="auto"/>
        <w:jc w:val="both"/>
        <w:rPr>
          <w:rFonts w:ascii="Arial" w:hAnsi="Arial" w:cs="Arial"/>
        </w:rPr>
      </w:pPr>
    </w:p>
    <w:p w:rsidR="008F3BC6" w:rsidRDefault="008F3BC6" w:rsidP="00BA0800">
      <w:pPr>
        <w:spacing w:line="360" w:lineRule="auto"/>
        <w:jc w:val="both"/>
        <w:rPr>
          <w:rFonts w:ascii="Arial" w:hAnsi="Arial" w:cs="Arial"/>
        </w:rPr>
      </w:pPr>
    </w:p>
    <w:p w:rsidR="008F3BC6" w:rsidRDefault="008F3BC6" w:rsidP="00BA0800">
      <w:pPr>
        <w:spacing w:line="360" w:lineRule="auto"/>
        <w:jc w:val="both"/>
        <w:rPr>
          <w:rFonts w:ascii="Arial" w:hAnsi="Arial" w:cs="Arial"/>
        </w:rPr>
      </w:pPr>
    </w:p>
    <w:p w:rsidR="00B93474" w:rsidRDefault="00B93474" w:rsidP="00BA0800">
      <w:pPr>
        <w:spacing w:line="360" w:lineRule="auto"/>
        <w:jc w:val="both"/>
        <w:rPr>
          <w:rFonts w:ascii="Arial" w:hAnsi="Arial" w:cs="Arial"/>
        </w:rPr>
      </w:pPr>
    </w:p>
    <w:p w:rsidR="00B93474" w:rsidRPr="00D32901" w:rsidRDefault="00B93474" w:rsidP="00D43058">
      <w:pPr>
        <w:pStyle w:val="Paragrafoelenco"/>
        <w:numPr>
          <w:ilvl w:val="1"/>
          <w:numId w:val="25"/>
        </w:numPr>
        <w:spacing w:line="360" w:lineRule="auto"/>
        <w:jc w:val="both"/>
        <w:rPr>
          <w:rFonts w:ascii="Arial" w:hAnsi="Arial" w:cs="Arial"/>
          <w:b/>
          <w:sz w:val="24"/>
        </w:rPr>
      </w:pPr>
      <w:r w:rsidRPr="00D32901">
        <w:rPr>
          <w:rFonts w:ascii="Arial" w:hAnsi="Arial" w:cs="Arial"/>
          <w:b/>
          <w:sz w:val="24"/>
        </w:rPr>
        <w:lastRenderedPageBreak/>
        <w:t>Descrizione dei principi contabili applicabili</w:t>
      </w:r>
    </w:p>
    <w:p w:rsidR="00B93474" w:rsidRDefault="00B93474" w:rsidP="00BA0800">
      <w:pPr>
        <w:spacing w:line="360" w:lineRule="auto"/>
        <w:jc w:val="both"/>
        <w:rPr>
          <w:rFonts w:ascii="Arial" w:hAnsi="Arial" w:cs="Arial"/>
          <w:b/>
        </w:rPr>
      </w:pPr>
    </w:p>
    <w:p w:rsidR="00B93474" w:rsidRPr="00217FAF" w:rsidRDefault="00B93474" w:rsidP="00217FAF">
      <w:pPr>
        <w:spacing w:line="360" w:lineRule="auto"/>
        <w:jc w:val="both"/>
        <w:rPr>
          <w:rFonts w:ascii="Arial" w:hAnsi="Arial" w:cs="Arial"/>
        </w:rPr>
      </w:pPr>
      <w:r w:rsidRPr="00217FAF">
        <w:rPr>
          <w:rFonts w:ascii="Arial" w:hAnsi="Arial" w:cs="Arial"/>
        </w:rPr>
        <w:t>Tenuto conto delle difficoltà applicative dei principi contabili internazionali con riferimento</w:t>
      </w:r>
      <w:r>
        <w:rPr>
          <w:rFonts w:ascii="Arial" w:hAnsi="Arial" w:cs="Arial"/>
        </w:rPr>
        <w:t xml:space="preserve"> </w:t>
      </w:r>
      <w:r w:rsidRPr="00217FAF">
        <w:rPr>
          <w:rFonts w:ascii="Arial" w:hAnsi="Arial" w:cs="Arial"/>
        </w:rPr>
        <w:t xml:space="preserve">all’adozione per le operazioni di </w:t>
      </w:r>
      <w:r w:rsidRPr="00E75D7F">
        <w:rPr>
          <w:rFonts w:ascii="Arial" w:hAnsi="Arial" w:cs="Arial"/>
          <w:i/>
        </w:rPr>
        <w:t xml:space="preserve">long </w:t>
      </w:r>
      <w:proofErr w:type="spellStart"/>
      <w:r w:rsidRPr="00E75D7F">
        <w:rPr>
          <w:rFonts w:ascii="Arial" w:hAnsi="Arial" w:cs="Arial"/>
          <w:i/>
        </w:rPr>
        <w:t>term</w:t>
      </w:r>
      <w:proofErr w:type="spellEnd"/>
      <w:r w:rsidRPr="00E75D7F">
        <w:rPr>
          <w:rFonts w:ascii="Arial" w:hAnsi="Arial" w:cs="Arial"/>
          <w:i/>
        </w:rPr>
        <w:t xml:space="preserve"> </w:t>
      </w:r>
      <w:proofErr w:type="spellStart"/>
      <w:r w:rsidRPr="00E75D7F">
        <w:rPr>
          <w:rFonts w:ascii="Arial" w:hAnsi="Arial" w:cs="Arial"/>
          <w:i/>
        </w:rPr>
        <w:t>structured</w:t>
      </w:r>
      <w:proofErr w:type="spellEnd"/>
      <w:r w:rsidRPr="00E75D7F">
        <w:rPr>
          <w:rFonts w:ascii="Arial" w:hAnsi="Arial" w:cs="Arial"/>
          <w:i/>
        </w:rPr>
        <w:t xml:space="preserve"> </w:t>
      </w:r>
      <w:proofErr w:type="spellStart"/>
      <w:r w:rsidRPr="00E75D7F">
        <w:rPr>
          <w:rFonts w:ascii="Arial" w:hAnsi="Arial" w:cs="Arial"/>
          <w:i/>
        </w:rPr>
        <w:t>repo</w:t>
      </w:r>
      <w:proofErr w:type="spellEnd"/>
      <w:r w:rsidRPr="00217FAF">
        <w:rPr>
          <w:rFonts w:ascii="Arial" w:hAnsi="Arial" w:cs="Arial"/>
        </w:rPr>
        <w:t xml:space="preserve"> di </w:t>
      </w:r>
      <w:r>
        <w:rPr>
          <w:rFonts w:ascii="Arial" w:hAnsi="Arial" w:cs="Arial"/>
        </w:rPr>
        <w:t xml:space="preserve">univoche </w:t>
      </w:r>
      <w:r w:rsidRPr="00217FAF">
        <w:rPr>
          <w:rFonts w:ascii="Arial" w:hAnsi="Arial" w:cs="Arial"/>
        </w:rPr>
        <w:t xml:space="preserve">modalità di contabilizzazione </w:t>
      </w:r>
      <w:r>
        <w:rPr>
          <w:rFonts w:ascii="Arial" w:hAnsi="Arial" w:cs="Arial"/>
        </w:rPr>
        <w:t>(</w:t>
      </w:r>
      <w:r w:rsidRPr="00217FAF">
        <w:rPr>
          <w:rFonts w:ascii="Arial" w:hAnsi="Arial" w:cs="Arial"/>
        </w:rPr>
        <w:t xml:space="preserve">a </w:t>
      </w:r>
      <w:r>
        <w:rPr>
          <w:rFonts w:ascii="Arial" w:hAnsi="Arial" w:cs="Arial"/>
        </w:rPr>
        <w:t>“</w:t>
      </w:r>
      <w:r w:rsidRPr="00217FAF">
        <w:rPr>
          <w:rFonts w:ascii="Arial" w:hAnsi="Arial" w:cs="Arial"/>
        </w:rPr>
        <w:t>saldi</w:t>
      </w:r>
      <w:r>
        <w:rPr>
          <w:rFonts w:ascii="Arial" w:hAnsi="Arial" w:cs="Arial"/>
        </w:rPr>
        <w:t xml:space="preserve"> </w:t>
      </w:r>
      <w:r w:rsidRPr="00217FAF">
        <w:rPr>
          <w:rFonts w:ascii="Arial" w:hAnsi="Arial" w:cs="Arial"/>
        </w:rPr>
        <w:t>aperti</w:t>
      </w:r>
      <w:r>
        <w:rPr>
          <w:rFonts w:ascii="Arial" w:hAnsi="Arial" w:cs="Arial"/>
        </w:rPr>
        <w:t>”</w:t>
      </w:r>
      <w:r w:rsidRPr="00217FAF">
        <w:rPr>
          <w:rFonts w:ascii="Arial" w:hAnsi="Arial" w:cs="Arial"/>
        </w:rPr>
        <w:t xml:space="preserve"> </w:t>
      </w:r>
      <w:r>
        <w:rPr>
          <w:rFonts w:ascii="Arial" w:hAnsi="Arial" w:cs="Arial"/>
        </w:rPr>
        <w:t>piuttosto che “a saldi</w:t>
      </w:r>
      <w:r w:rsidRPr="00217FAF">
        <w:rPr>
          <w:rFonts w:ascii="Arial" w:hAnsi="Arial" w:cs="Arial"/>
        </w:rPr>
        <w:t xml:space="preserve"> chiusi</w:t>
      </w:r>
      <w:r>
        <w:rPr>
          <w:rFonts w:ascii="Arial" w:hAnsi="Arial" w:cs="Arial"/>
        </w:rPr>
        <w:t>”)</w:t>
      </w:r>
      <w:r w:rsidRPr="00217FAF">
        <w:rPr>
          <w:rFonts w:ascii="Arial" w:hAnsi="Arial" w:cs="Arial"/>
        </w:rPr>
        <w:t xml:space="preserve"> e dell’assenza di specifiche disposizioni previste da</w:t>
      </w:r>
      <w:r>
        <w:rPr>
          <w:rFonts w:ascii="Arial" w:hAnsi="Arial" w:cs="Arial"/>
        </w:rPr>
        <w:t>gl</w:t>
      </w:r>
      <w:r w:rsidRPr="00217FAF">
        <w:rPr>
          <w:rFonts w:ascii="Arial" w:hAnsi="Arial" w:cs="Arial"/>
        </w:rPr>
        <w:t>i</w:t>
      </w:r>
      <w:r>
        <w:rPr>
          <w:rFonts w:ascii="Arial" w:hAnsi="Arial" w:cs="Arial"/>
        </w:rPr>
        <w:t xml:space="preserve"> stessi</w:t>
      </w:r>
      <w:r w:rsidRPr="00217FAF">
        <w:rPr>
          <w:rFonts w:ascii="Arial" w:hAnsi="Arial" w:cs="Arial"/>
        </w:rPr>
        <w:t xml:space="preserve"> principi,</w:t>
      </w:r>
      <w:r>
        <w:rPr>
          <w:rFonts w:ascii="Arial" w:hAnsi="Arial" w:cs="Arial"/>
        </w:rPr>
        <w:t xml:space="preserve"> </w:t>
      </w:r>
      <w:r w:rsidRPr="00217FAF">
        <w:rPr>
          <w:rFonts w:ascii="Arial" w:hAnsi="Arial" w:cs="Arial"/>
        </w:rPr>
        <w:t>l’Organismo Italiano di Contabilità (“OIC”) ha sottoposto</w:t>
      </w:r>
      <w:r>
        <w:rPr>
          <w:rFonts w:ascii="Arial" w:hAnsi="Arial" w:cs="Arial"/>
        </w:rPr>
        <w:t>,</w:t>
      </w:r>
      <w:r w:rsidRPr="00217FAF">
        <w:rPr>
          <w:rFonts w:ascii="Arial" w:hAnsi="Arial" w:cs="Arial"/>
        </w:rPr>
        <w:t xml:space="preserve"> nel 2013</w:t>
      </w:r>
      <w:r>
        <w:rPr>
          <w:rFonts w:ascii="Arial" w:hAnsi="Arial" w:cs="Arial"/>
        </w:rPr>
        <w:t>,</w:t>
      </w:r>
      <w:r w:rsidRPr="00217FAF">
        <w:rPr>
          <w:rFonts w:ascii="Arial" w:hAnsi="Arial" w:cs="Arial"/>
        </w:rPr>
        <w:t xml:space="preserve"> la tematica all’attenzione</w:t>
      </w:r>
      <w:r>
        <w:rPr>
          <w:rFonts w:ascii="Arial" w:hAnsi="Arial" w:cs="Arial"/>
        </w:rPr>
        <w:t xml:space="preserve"> </w:t>
      </w:r>
      <w:r w:rsidRPr="00217FAF">
        <w:rPr>
          <w:rFonts w:ascii="Arial" w:hAnsi="Arial" w:cs="Arial"/>
        </w:rPr>
        <w:t xml:space="preserve">dell’IFRS </w:t>
      </w:r>
      <w:proofErr w:type="spellStart"/>
      <w:r w:rsidRPr="00217FAF">
        <w:rPr>
          <w:rFonts w:ascii="Arial" w:hAnsi="Arial" w:cs="Arial"/>
        </w:rPr>
        <w:t>Interpretations</w:t>
      </w:r>
      <w:proofErr w:type="spellEnd"/>
      <w:r w:rsidRPr="00217FAF">
        <w:rPr>
          <w:rFonts w:ascii="Arial" w:hAnsi="Arial" w:cs="Arial"/>
        </w:rPr>
        <w:t xml:space="preserve"> </w:t>
      </w:r>
      <w:proofErr w:type="spellStart"/>
      <w:r w:rsidRPr="00217FAF">
        <w:rPr>
          <w:rFonts w:ascii="Arial" w:hAnsi="Arial" w:cs="Arial"/>
        </w:rPr>
        <w:t>Committee</w:t>
      </w:r>
      <w:proofErr w:type="spellEnd"/>
      <w:r w:rsidRPr="00217FAF">
        <w:rPr>
          <w:rFonts w:ascii="Arial" w:hAnsi="Arial" w:cs="Arial"/>
        </w:rPr>
        <w:t xml:space="preserve"> (“IFRS IC”), organismo deputato a fornire interpretazioni o</w:t>
      </w:r>
      <w:r>
        <w:rPr>
          <w:rFonts w:ascii="Arial" w:hAnsi="Arial" w:cs="Arial"/>
        </w:rPr>
        <w:t xml:space="preserve"> </w:t>
      </w:r>
      <w:r w:rsidRPr="00217FAF">
        <w:rPr>
          <w:rFonts w:ascii="Arial" w:hAnsi="Arial" w:cs="Arial"/>
        </w:rPr>
        <w:t>guide applicative dei principi contabili internazionali.</w:t>
      </w:r>
    </w:p>
    <w:p w:rsidR="00B93474" w:rsidRPr="00217FAF" w:rsidRDefault="00B93474" w:rsidP="00217FAF">
      <w:pPr>
        <w:spacing w:line="360" w:lineRule="auto"/>
        <w:jc w:val="both"/>
        <w:rPr>
          <w:rFonts w:ascii="Arial" w:hAnsi="Arial" w:cs="Arial"/>
        </w:rPr>
      </w:pPr>
      <w:r w:rsidRPr="00217FAF">
        <w:rPr>
          <w:rFonts w:ascii="Arial" w:hAnsi="Arial" w:cs="Arial"/>
        </w:rPr>
        <w:t>Al termine della procedura prevista per l’esame di nuove tematiche non oggetto degli esistenti</w:t>
      </w:r>
      <w:r>
        <w:rPr>
          <w:rFonts w:ascii="Arial" w:hAnsi="Arial" w:cs="Arial"/>
        </w:rPr>
        <w:t xml:space="preserve"> </w:t>
      </w:r>
      <w:r w:rsidRPr="00217FAF">
        <w:rPr>
          <w:rFonts w:ascii="Arial" w:hAnsi="Arial" w:cs="Arial"/>
        </w:rPr>
        <w:t>principi contabili ovvero per l’esame di tematiche per le quali sono emerse interpretazioni ritenute</w:t>
      </w:r>
      <w:r>
        <w:rPr>
          <w:rFonts w:ascii="Arial" w:hAnsi="Arial" w:cs="Arial"/>
        </w:rPr>
        <w:t xml:space="preserve"> </w:t>
      </w:r>
      <w:r w:rsidRPr="00217FAF">
        <w:rPr>
          <w:rFonts w:ascii="Arial" w:hAnsi="Arial" w:cs="Arial"/>
        </w:rPr>
        <w:t>non soddisfacenti o confliggenti, nel marzo 2014 l’IFRS IC ha</w:t>
      </w:r>
      <w:r>
        <w:rPr>
          <w:rFonts w:ascii="Arial" w:hAnsi="Arial" w:cs="Arial"/>
        </w:rPr>
        <w:t xml:space="preserve"> </w:t>
      </w:r>
      <w:r w:rsidRPr="00DA2DA6">
        <w:rPr>
          <w:rFonts w:ascii="Arial" w:hAnsi="Arial" w:cs="Arial"/>
        </w:rPr>
        <w:t xml:space="preserve">reputato la circostanza che i flussi finanziari netti delle operazioni di </w:t>
      </w:r>
      <w:r w:rsidRPr="001E6229">
        <w:rPr>
          <w:rFonts w:ascii="Arial" w:hAnsi="Arial" w:cs="Arial"/>
          <w:i/>
        </w:rPr>
        <w:t xml:space="preserve">long </w:t>
      </w:r>
      <w:proofErr w:type="spellStart"/>
      <w:r w:rsidRPr="001E6229">
        <w:rPr>
          <w:rFonts w:ascii="Arial" w:hAnsi="Arial" w:cs="Arial"/>
          <w:i/>
        </w:rPr>
        <w:t>term</w:t>
      </w:r>
      <w:proofErr w:type="spellEnd"/>
      <w:r w:rsidRPr="001E6229">
        <w:rPr>
          <w:rFonts w:ascii="Arial" w:hAnsi="Arial" w:cs="Arial"/>
          <w:i/>
        </w:rPr>
        <w:t xml:space="preserve"> </w:t>
      </w:r>
      <w:proofErr w:type="spellStart"/>
      <w:r w:rsidRPr="001E6229">
        <w:rPr>
          <w:rFonts w:ascii="Arial" w:hAnsi="Arial" w:cs="Arial"/>
          <w:i/>
        </w:rPr>
        <w:t>structured</w:t>
      </w:r>
      <w:proofErr w:type="spellEnd"/>
      <w:r w:rsidRPr="001E6229">
        <w:rPr>
          <w:rFonts w:ascii="Arial" w:hAnsi="Arial" w:cs="Arial"/>
          <w:i/>
        </w:rPr>
        <w:t xml:space="preserve"> </w:t>
      </w:r>
      <w:proofErr w:type="spellStart"/>
      <w:r w:rsidRPr="001E6229">
        <w:rPr>
          <w:rFonts w:ascii="Arial" w:hAnsi="Arial" w:cs="Arial"/>
          <w:i/>
        </w:rPr>
        <w:t>repo</w:t>
      </w:r>
      <w:proofErr w:type="spellEnd"/>
      <w:r w:rsidRPr="00DA2DA6">
        <w:rPr>
          <w:rFonts w:ascii="Arial" w:hAnsi="Arial" w:cs="Arial"/>
        </w:rPr>
        <w:t xml:space="preserve"> fossero simili a quelli di un </w:t>
      </w:r>
      <w:r w:rsidRPr="001E6229">
        <w:rPr>
          <w:rFonts w:ascii="Arial" w:hAnsi="Arial" w:cs="Arial"/>
          <w:i/>
        </w:rPr>
        <w:t>credit default swap</w:t>
      </w:r>
      <w:r w:rsidRPr="00DA2DA6">
        <w:rPr>
          <w:rFonts w:ascii="Arial" w:hAnsi="Arial" w:cs="Arial"/>
        </w:rPr>
        <w:t xml:space="preserve"> di per sé non sufficiente per procedere ad una contabilizzazione </w:t>
      </w:r>
      <w:r>
        <w:rPr>
          <w:rFonts w:ascii="Arial" w:hAnsi="Arial" w:cs="Arial"/>
        </w:rPr>
        <w:t>“</w:t>
      </w:r>
      <w:r w:rsidRPr="00DA2DA6">
        <w:rPr>
          <w:rFonts w:ascii="Arial" w:hAnsi="Arial" w:cs="Arial"/>
        </w:rPr>
        <w:t>a saldi chiusi</w:t>
      </w:r>
      <w:r>
        <w:rPr>
          <w:rFonts w:ascii="Arial" w:hAnsi="Arial" w:cs="Arial"/>
        </w:rPr>
        <w:t>”</w:t>
      </w:r>
      <w:r w:rsidRPr="00DA2DA6">
        <w:rPr>
          <w:rFonts w:ascii="Arial" w:hAnsi="Arial" w:cs="Arial"/>
        </w:rPr>
        <w:t xml:space="preserve"> e ha </w:t>
      </w:r>
      <w:r>
        <w:rPr>
          <w:rFonts w:ascii="Arial" w:hAnsi="Arial" w:cs="Arial"/>
        </w:rPr>
        <w:t xml:space="preserve">ritenuto che non sussistessero i presupposti per </w:t>
      </w:r>
      <w:r w:rsidRPr="00217FAF">
        <w:rPr>
          <w:rFonts w:ascii="Arial" w:hAnsi="Arial" w:cs="Arial"/>
        </w:rPr>
        <w:t>fornire un’interpretazione sul trattamento contabile delle operazioni in questione</w:t>
      </w:r>
      <w:r>
        <w:rPr>
          <w:rFonts w:ascii="Arial" w:hAnsi="Arial" w:cs="Arial"/>
        </w:rPr>
        <w:t>, che doveva quindi essere determinato sulla base dei principi esistenti</w:t>
      </w:r>
      <w:r w:rsidRPr="00217FAF">
        <w:rPr>
          <w:rFonts w:ascii="Arial" w:hAnsi="Arial" w:cs="Arial"/>
        </w:rPr>
        <w:t>.</w:t>
      </w:r>
    </w:p>
    <w:p w:rsidR="00B93474" w:rsidRPr="00217FAF" w:rsidRDefault="00B93474" w:rsidP="00217FAF">
      <w:pPr>
        <w:spacing w:line="360" w:lineRule="auto"/>
        <w:jc w:val="both"/>
        <w:rPr>
          <w:rFonts w:ascii="Arial" w:hAnsi="Arial" w:cs="Arial"/>
        </w:rPr>
      </w:pPr>
      <w:r>
        <w:rPr>
          <w:rFonts w:ascii="Arial" w:hAnsi="Arial" w:cs="Arial"/>
        </w:rPr>
        <w:t>Più in particolare, s</w:t>
      </w:r>
      <w:r w:rsidRPr="00217FAF">
        <w:rPr>
          <w:rFonts w:ascii="Arial" w:hAnsi="Arial" w:cs="Arial"/>
        </w:rPr>
        <w:t>econdo l’IFRS IC:</w:t>
      </w:r>
    </w:p>
    <w:p w:rsidR="00B93474" w:rsidRPr="00C200F4" w:rsidRDefault="00B93474" w:rsidP="00E75D7F">
      <w:pPr>
        <w:pStyle w:val="Paragrafoelenco"/>
        <w:numPr>
          <w:ilvl w:val="0"/>
          <w:numId w:val="27"/>
        </w:numPr>
        <w:spacing w:line="360" w:lineRule="auto"/>
        <w:jc w:val="both"/>
        <w:rPr>
          <w:rFonts w:ascii="Arial" w:hAnsi="Arial" w:cs="Arial"/>
          <w:sz w:val="24"/>
        </w:rPr>
      </w:pPr>
      <w:r w:rsidRPr="00C200F4">
        <w:rPr>
          <w:rFonts w:ascii="Arial" w:hAnsi="Arial" w:cs="Arial"/>
          <w:sz w:val="24"/>
        </w:rPr>
        <w:t>la corretta modalità di contabilizzazione da adottare dipende dalla finalità economica dell’operazione;</w:t>
      </w:r>
    </w:p>
    <w:p w:rsidR="00B93474" w:rsidRPr="00E75D7F" w:rsidRDefault="00B93474" w:rsidP="00E75D7F">
      <w:pPr>
        <w:pStyle w:val="Paragrafoelenco"/>
        <w:numPr>
          <w:ilvl w:val="0"/>
          <w:numId w:val="27"/>
        </w:numPr>
        <w:spacing w:line="360" w:lineRule="auto"/>
        <w:jc w:val="both"/>
        <w:rPr>
          <w:rFonts w:ascii="Arial" w:hAnsi="Arial" w:cs="Arial"/>
          <w:sz w:val="24"/>
        </w:rPr>
      </w:pPr>
      <w:r w:rsidRPr="00E75D7F">
        <w:rPr>
          <w:rFonts w:ascii="Arial" w:hAnsi="Arial" w:cs="Arial"/>
          <w:sz w:val="24"/>
        </w:rPr>
        <w:t>i riferimenti normativi sono indicati nei paragrafi:</w:t>
      </w:r>
    </w:p>
    <w:p w:rsidR="00B93474" w:rsidRPr="00E75D7F" w:rsidRDefault="00B93474" w:rsidP="00E75D7F">
      <w:pPr>
        <w:pStyle w:val="Paragrafoelenco"/>
        <w:numPr>
          <w:ilvl w:val="1"/>
          <w:numId w:val="27"/>
        </w:numPr>
        <w:spacing w:line="360" w:lineRule="auto"/>
        <w:jc w:val="both"/>
        <w:rPr>
          <w:rFonts w:ascii="Arial" w:hAnsi="Arial" w:cs="Arial"/>
          <w:sz w:val="24"/>
        </w:rPr>
      </w:pPr>
      <w:r>
        <w:rPr>
          <w:rFonts w:ascii="Arial" w:hAnsi="Arial" w:cs="Arial"/>
          <w:sz w:val="24"/>
        </w:rPr>
        <w:t xml:space="preserve">IAS 39.IG </w:t>
      </w:r>
      <w:r w:rsidRPr="00E75D7F">
        <w:rPr>
          <w:rFonts w:ascii="Arial" w:hAnsi="Arial" w:cs="Arial"/>
          <w:sz w:val="24"/>
        </w:rPr>
        <w:t>B</w:t>
      </w:r>
      <w:r>
        <w:rPr>
          <w:rFonts w:ascii="Arial" w:hAnsi="Arial" w:cs="Arial"/>
          <w:sz w:val="24"/>
        </w:rPr>
        <w:t>.</w:t>
      </w:r>
      <w:r w:rsidRPr="00E75D7F">
        <w:rPr>
          <w:rFonts w:ascii="Arial" w:hAnsi="Arial" w:cs="Arial"/>
          <w:sz w:val="24"/>
        </w:rPr>
        <w:t xml:space="preserve">6 della </w:t>
      </w:r>
      <w:proofErr w:type="spellStart"/>
      <w:r w:rsidRPr="00E75D7F">
        <w:rPr>
          <w:rFonts w:ascii="Arial" w:hAnsi="Arial" w:cs="Arial"/>
          <w:i/>
          <w:sz w:val="24"/>
        </w:rPr>
        <w:t>Guidance</w:t>
      </w:r>
      <w:proofErr w:type="spellEnd"/>
      <w:r w:rsidRPr="00E75D7F">
        <w:rPr>
          <w:rFonts w:ascii="Arial" w:hAnsi="Arial" w:cs="Arial"/>
          <w:i/>
          <w:sz w:val="24"/>
        </w:rPr>
        <w:t xml:space="preserve"> on </w:t>
      </w:r>
      <w:proofErr w:type="spellStart"/>
      <w:r w:rsidRPr="00E75D7F">
        <w:rPr>
          <w:rFonts w:ascii="Arial" w:hAnsi="Arial" w:cs="Arial"/>
          <w:i/>
          <w:sz w:val="24"/>
        </w:rPr>
        <w:t>Implementing</w:t>
      </w:r>
      <w:proofErr w:type="spellEnd"/>
      <w:r w:rsidRPr="00E75D7F">
        <w:rPr>
          <w:rFonts w:ascii="Arial" w:hAnsi="Arial" w:cs="Arial"/>
          <w:sz w:val="24"/>
        </w:rPr>
        <w:t xml:space="preserve"> IAS 39, che, come noto, in tema di definizione di strumenti finanziari derivati, definisce taluni indicatori necessari per valutare la prevalenza della sostanza economica sulla forma di strutture contrattuali complesse;</w:t>
      </w:r>
    </w:p>
    <w:p w:rsidR="00B93474" w:rsidRPr="00E75D7F" w:rsidRDefault="00B93474" w:rsidP="00E75D7F">
      <w:pPr>
        <w:pStyle w:val="Paragrafoelenco"/>
        <w:numPr>
          <w:ilvl w:val="1"/>
          <w:numId w:val="27"/>
        </w:numPr>
        <w:spacing w:line="360" w:lineRule="auto"/>
        <w:jc w:val="both"/>
        <w:rPr>
          <w:rFonts w:ascii="Arial" w:hAnsi="Arial" w:cs="Arial"/>
          <w:sz w:val="24"/>
        </w:rPr>
      </w:pPr>
      <w:r w:rsidRPr="00E75D7F">
        <w:rPr>
          <w:rFonts w:ascii="Arial" w:hAnsi="Arial" w:cs="Arial"/>
          <w:sz w:val="24"/>
        </w:rPr>
        <w:t xml:space="preserve">IAS 39.IG C.6 della </w:t>
      </w:r>
      <w:proofErr w:type="spellStart"/>
      <w:r w:rsidRPr="00AB4ADC">
        <w:rPr>
          <w:rFonts w:ascii="Arial" w:hAnsi="Arial" w:cs="Arial"/>
          <w:i/>
          <w:sz w:val="24"/>
        </w:rPr>
        <w:t>Guidance</w:t>
      </w:r>
      <w:proofErr w:type="spellEnd"/>
      <w:r w:rsidRPr="00AB4ADC">
        <w:rPr>
          <w:rFonts w:ascii="Arial" w:hAnsi="Arial" w:cs="Arial"/>
          <w:i/>
          <w:sz w:val="24"/>
        </w:rPr>
        <w:t xml:space="preserve"> on </w:t>
      </w:r>
      <w:proofErr w:type="spellStart"/>
      <w:r w:rsidRPr="00AB4ADC">
        <w:rPr>
          <w:rFonts w:ascii="Arial" w:hAnsi="Arial" w:cs="Arial"/>
          <w:i/>
          <w:sz w:val="24"/>
        </w:rPr>
        <w:t>Implementing</w:t>
      </w:r>
      <w:proofErr w:type="spellEnd"/>
      <w:r w:rsidRPr="00E75D7F">
        <w:rPr>
          <w:rFonts w:ascii="Arial" w:hAnsi="Arial" w:cs="Arial"/>
          <w:sz w:val="24"/>
        </w:rPr>
        <w:t xml:space="preserve"> IAS 39, secondo il quale, in materia di derivati incorporati e strumenti sintetici, non è generalmente appropriato contabilizzare due o più strumenti finanziari congiuntamente come un singolo strumento. Laddove ciascuno strumento che costituisce la complessiva operazione è regolato da specifiche condizioni contrattuali e può essere trasferito o regolato singolarmente;</w:t>
      </w:r>
    </w:p>
    <w:p w:rsidR="00B93474" w:rsidRPr="00E75D7F" w:rsidRDefault="00B93474" w:rsidP="00E75D7F">
      <w:pPr>
        <w:pStyle w:val="Paragrafoelenco"/>
        <w:numPr>
          <w:ilvl w:val="1"/>
          <w:numId w:val="27"/>
        </w:numPr>
        <w:spacing w:line="360" w:lineRule="auto"/>
        <w:jc w:val="both"/>
        <w:rPr>
          <w:rFonts w:ascii="Arial" w:hAnsi="Arial" w:cs="Arial"/>
          <w:sz w:val="24"/>
        </w:rPr>
      </w:pPr>
      <w:r w:rsidRPr="00E75D7F">
        <w:rPr>
          <w:rFonts w:ascii="Arial" w:hAnsi="Arial" w:cs="Arial"/>
          <w:sz w:val="24"/>
        </w:rPr>
        <w:lastRenderedPageBreak/>
        <w:t>IAS 32.AG39 dell’</w:t>
      </w:r>
      <w:r w:rsidRPr="00AB4ADC">
        <w:rPr>
          <w:rFonts w:ascii="Arial" w:hAnsi="Arial" w:cs="Arial"/>
          <w:i/>
          <w:sz w:val="24"/>
        </w:rPr>
        <w:t xml:space="preserve">Application </w:t>
      </w:r>
      <w:proofErr w:type="spellStart"/>
      <w:r w:rsidRPr="00AB4ADC">
        <w:rPr>
          <w:rFonts w:ascii="Arial" w:hAnsi="Arial" w:cs="Arial"/>
          <w:i/>
          <w:sz w:val="24"/>
        </w:rPr>
        <w:t>Guidance</w:t>
      </w:r>
      <w:proofErr w:type="spellEnd"/>
      <w:r>
        <w:rPr>
          <w:rFonts w:ascii="Arial" w:hAnsi="Arial" w:cs="Arial"/>
          <w:sz w:val="24"/>
        </w:rPr>
        <w:t xml:space="preserve"> dello IAS 32</w:t>
      </w:r>
      <w:r w:rsidRPr="00E75D7F">
        <w:rPr>
          <w:rFonts w:ascii="Arial" w:hAnsi="Arial" w:cs="Arial"/>
          <w:sz w:val="24"/>
        </w:rPr>
        <w:t>, in materia di compensazione di attività e passività che congiuntamente costituiscono uno strumento finanziario sintetico. Secondo tale principio, ciascuno degli strumenti finanziari distinti (attività e passività) che insieme costituiscono uno strumento finanziario sintetico, non sono compensati, qualora ciascuno di essi rappresenti un diritto o un’obbligazione contrattuale con proprie clausole e condizioni e può essere trasferito o regolato indipendentemente;</w:t>
      </w:r>
    </w:p>
    <w:p w:rsidR="00B93474" w:rsidRPr="006C3694" w:rsidRDefault="00B93474" w:rsidP="006C3694">
      <w:pPr>
        <w:pStyle w:val="Paragrafoelenco"/>
        <w:numPr>
          <w:ilvl w:val="0"/>
          <w:numId w:val="27"/>
        </w:numPr>
        <w:spacing w:line="360" w:lineRule="auto"/>
        <w:jc w:val="both"/>
        <w:rPr>
          <w:rFonts w:ascii="Arial" w:hAnsi="Arial" w:cs="Arial"/>
          <w:sz w:val="24"/>
        </w:rPr>
      </w:pPr>
      <w:r w:rsidRPr="006C3694">
        <w:rPr>
          <w:rFonts w:ascii="Arial" w:hAnsi="Arial" w:cs="Arial"/>
          <w:sz w:val="24"/>
        </w:rPr>
        <w:t>l’applicazione dello IAS 39.IG B.6</w:t>
      </w:r>
      <w:r w:rsidR="006525B3">
        <w:rPr>
          <w:rStyle w:val="Rimandonotaapidipagina"/>
          <w:rFonts w:ascii="Arial" w:hAnsi="Arial"/>
          <w:sz w:val="24"/>
        </w:rPr>
        <w:footnoteReference w:id="1"/>
      </w:r>
      <w:r w:rsidRPr="006C3694">
        <w:rPr>
          <w:rFonts w:ascii="Arial" w:hAnsi="Arial" w:cs="Arial"/>
          <w:sz w:val="24"/>
        </w:rPr>
        <w:t xml:space="preserve"> richiede evidenti valutazioni discrezionali (“</w:t>
      </w:r>
      <w:proofErr w:type="spellStart"/>
      <w:r w:rsidRPr="006C3694">
        <w:rPr>
          <w:rFonts w:ascii="Arial" w:hAnsi="Arial" w:cs="Arial"/>
          <w:i/>
          <w:sz w:val="24"/>
        </w:rPr>
        <w:t>judgmental</w:t>
      </w:r>
      <w:proofErr w:type="spellEnd"/>
      <w:r w:rsidRPr="006C3694">
        <w:rPr>
          <w:rFonts w:ascii="Arial" w:hAnsi="Arial" w:cs="Arial"/>
          <w:sz w:val="24"/>
        </w:rPr>
        <w:t>”) da parte del redattore del bilancio. Peraltro, la verifica della sussistenza degli indicatori previsti dal citato paragrafo può aiutare l’entità nella determinazione della sostanza della transazione; tuttavia la presenza o l’assenza di uno specifico indicatore non può essere considerata dirimente;</w:t>
      </w:r>
    </w:p>
    <w:p w:rsidR="00B93474" w:rsidRPr="006C3694" w:rsidRDefault="00B93474" w:rsidP="006C3694">
      <w:pPr>
        <w:pStyle w:val="Paragrafoelenco"/>
        <w:numPr>
          <w:ilvl w:val="0"/>
          <w:numId w:val="27"/>
        </w:numPr>
        <w:spacing w:line="360" w:lineRule="auto"/>
        <w:jc w:val="both"/>
        <w:rPr>
          <w:rFonts w:ascii="Arial" w:hAnsi="Arial" w:cs="Arial"/>
          <w:sz w:val="24"/>
        </w:rPr>
      </w:pPr>
      <w:r w:rsidRPr="006C3694">
        <w:rPr>
          <w:rFonts w:ascii="Arial" w:hAnsi="Arial" w:cs="Arial"/>
          <w:sz w:val="24"/>
        </w:rPr>
        <w:t>le interpretazioni e le linee guida esistenti e approvate dallo IASB consentono di procedere alla corretta contabilizzazione delle operazioni, anche sulla base delle finalità economiche delle stesse.</w:t>
      </w:r>
    </w:p>
    <w:p w:rsidR="00B93474" w:rsidRPr="00217FAF" w:rsidRDefault="00B93474" w:rsidP="00217FAF">
      <w:pPr>
        <w:spacing w:line="360" w:lineRule="auto"/>
        <w:jc w:val="both"/>
        <w:rPr>
          <w:rFonts w:ascii="Arial" w:hAnsi="Arial" w:cs="Arial"/>
        </w:rPr>
      </w:pPr>
      <w:r w:rsidRPr="00217FAF">
        <w:rPr>
          <w:rFonts w:ascii="Arial" w:hAnsi="Arial" w:cs="Arial"/>
        </w:rPr>
        <w:t>In sintesi, secondo quanto rappresentato dall’IFRS IC, ciò che rileva al fine di valutare la corretta</w:t>
      </w:r>
      <w:r>
        <w:rPr>
          <w:rFonts w:ascii="Arial" w:hAnsi="Arial" w:cs="Arial"/>
        </w:rPr>
        <w:t xml:space="preserve"> </w:t>
      </w:r>
      <w:r w:rsidRPr="00217FAF">
        <w:rPr>
          <w:rFonts w:ascii="Arial" w:hAnsi="Arial" w:cs="Arial"/>
        </w:rPr>
        <w:t xml:space="preserve">modalità di contabilizzazione delle operazioni di </w:t>
      </w:r>
      <w:proofErr w:type="spellStart"/>
      <w:r w:rsidRPr="006C3694">
        <w:rPr>
          <w:rFonts w:ascii="Arial" w:hAnsi="Arial" w:cs="Arial"/>
          <w:i/>
        </w:rPr>
        <w:t>structured</w:t>
      </w:r>
      <w:proofErr w:type="spellEnd"/>
      <w:r w:rsidRPr="006C3694">
        <w:rPr>
          <w:rFonts w:ascii="Arial" w:hAnsi="Arial" w:cs="Arial"/>
          <w:i/>
        </w:rPr>
        <w:t xml:space="preserve"> </w:t>
      </w:r>
      <w:proofErr w:type="spellStart"/>
      <w:r w:rsidRPr="006C3694">
        <w:rPr>
          <w:rFonts w:ascii="Arial" w:hAnsi="Arial" w:cs="Arial"/>
          <w:i/>
        </w:rPr>
        <w:t>repo</w:t>
      </w:r>
      <w:proofErr w:type="spellEnd"/>
      <w:r w:rsidRPr="00217FAF">
        <w:rPr>
          <w:rFonts w:ascii="Arial" w:hAnsi="Arial" w:cs="Arial"/>
        </w:rPr>
        <w:t xml:space="preserve"> è la corretta rappresentazione</w:t>
      </w:r>
      <w:r>
        <w:rPr>
          <w:rFonts w:ascii="Arial" w:hAnsi="Arial" w:cs="Arial"/>
        </w:rPr>
        <w:t xml:space="preserve"> </w:t>
      </w:r>
      <w:r w:rsidRPr="00217FAF">
        <w:rPr>
          <w:rFonts w:ascii="Arial" w:hAnsi="Arial" w:cs="Arial"/>
        </w:rPr>
        <w:t>dell’effettiv</w:t>
      </w:r>
      <w:r>
        <w:rPr>
          <w:rFonts w:ascii="Arial" w:hAnsi="Arial" w:cs="Arial"/>
        </w:rPr>
        <w:t xml:space="preserve">o </w:t>
      </w:r>
      <w:proofErr w:type="spellStart"/>
      <w:r w:rsidRPr="006C3694">
        <w:rPr>
          <w:rFonts w:ascii="Arial" w:hAnsi="Arial" w:cs="Arial"/>
          <w:i/>
        </w:rPr>
        <w:t>substantive</w:t>
      </w:r>
      <w:proofErr w:type="spellEnd"/>
      <w:r w:rsidRPr="006C3694">
        <w:rPr>
          <w:rFonts w:ascii="Arial" w:hAnsi="Arial" w:cs="Arial"/>
          <w:i/>
        </w:rPr>
        <w:t xml:space="preserve"> business </w:t>
      </w:r>
      <w:proofErr w:type="spellStart"/>
      <w:r w:rsidRPr="006C3694">
        <w:rPr>
          <w:rFonts w:ascii="Arial" w:hAnsi="Arial" w:cs="Arial"/>
          <w:i/>
        </w:rPr>
        <w:t>purpose</w:t>
      </w:r>
      <w:proofErr w:type="spellEnd"/>
      <w:r w:rsidRPr="00217FAF">
        <w:rPr>
          <w:rFonts w:ascii="Arial" w:hAnsi="Arial" w:cs="Arial"/>
        </w:rPr>
        <w:t>.</w:t>
      </w:r>
    </w:p>
    <w:p w:rsidR="00B93474" w:rsidRPr="00217FAF" w:rsidRDefault="00B93474" w:rsidP="00217FAF">
      <w:pPr>
        <w:spacing w:line="360" w:lineRule="auto"/>
        <w:jc w:val="both"/>
        <w:rPr>
          <w:rFonts w:ascii="Arial" w:hAnsi="Arial" w:cs="Arial"/>
        </w:rPr>
      </w:pPr>
      <w:r w:rsidRPr="00217FAF">
        <w:rPr>
          <w:rFonts w:ascii="Arial" w:hAnsi="Arial" w:cs="Arial"/>
        </w:rPr>
        <w:t>L’IFRS IC ha inoltre effettuato ulteriori approfondimenti sulla modalità di contabilizzazione. In</w:t>
      </w:r>
      <w:r>
        <w:rPr>
          <w:rFonts w:ascii="Arial" w:hAnsi="Arial" w:cs="Arial"/>
        </w:rPr>
        <w:t xml:space="preserve"> </w:t>
      </w:r>
      <w:r w:rsidRPr="00217FAF">
        <w:rPr>
          <w:rFonts w:ascii="Arial" w:hAnsi="Arial" w:cs="Arial"/>
        </w:rPr>
        <w:t xml:space="preserve">particolare, nell’ipotesi in cui si decida di procedere ad una contabilizzazione dell’operazione </w:t>
      </w:r>
      <w:r>
        <w:rPr>
          <w:rFonts w:ascii="Arial" w:hAnsi="Arial" w:cs="Arial"/>
        </w:rPr>
        <w:t>“</w:t>
      </w:r>
      <w:r w:rsidRPr="00217FAF">
        <w:rPr>
          <w:rFonts w:ascii="Arial" w:hAnsi="Arial" w:cs="Arial"/>
        </w:rPr>
        <w:t>a saldi</w:t>
      </w:r>
      <w:r>
        <w:rPr>
          <w:rFonts w:ascii="Arial" w:hAnsi="Arial" w:cs="Arial"/>
        </w:rPr>
        <w:t xml:space="preserve"> </w:t>
      </w:r>
      <w:r w:rsidRPr="00217FAF">
        <w:rPr>
          <w:rFonts w:ascii="Arial" w:hAnsi="Arial" w:cs="Arial"/>
        </w:rPr>
        <w:t>aperti</w:t>
      </w:r>
      <w:r>
        <w:rPr>
          <w:rFonts w:ascii="Arial" w:hAnsi="Arial" w:cs="Arial"/>
        </w:rPr>
        <w:t>”</w:t>
      </w:r>
      <w:r w:rsidRPr="00217FAF">
        <w:rPr>
          <w:rFonts w:ascii="Arial" w:hAnsi="Arial" w:cs="Arial"/>
        </w:rPr>
        <w:t>, l’IFRS IC indica le analisi da svolgere ai fini della modalità di iscrizione delle singole</w:t>
      </w:r>
      <w:r>
        <w:rPr>
          <w:rFonts w:ascii="Arial" w:hAnsi="Arial" w:cs="Arial"/>
        </w:rPr>
        <w:t xml:space="preserve"> </w:t>
      </w:r>
      <w:r w:rsidRPr="00217FAF">
        <w:rPr>
          <w:rFonts w:ascii="Arial" w:hAnsi="Arial" w:cs="Arial"/>
        </w:rPr>
        <w:t>transazioni in bilancio. Con riferimento all’operazione di acquisto dei titoli, l’IFRS IC richiama i</w:t>
      </w:r>
      <w:r>
        <w:rPr>
          <w:rFonts w:ascii="Arial" w:hAnsi="Arial" w:cs="Arial"/>
        </w:rPr>
        <w:t xml:space="preserve"> </w:t>
      </w:r>
      <w:r w:rsidRPr="00217FAF">
        <w:rPr>
          <w:rFonts w:ascii="Arial" w:hAnsi="Arial" w:cs="Arial"/>
        </w:rPr>
        <w:t>principi relativi all’iscrizione e cancellazione delle attività finanziarie. In particolare viene indicato</w:t>
      </w:r>
      <w:r>
        <w:rPr>
          <w:rFonts w:ascii="Arial" w:hAnsi="Arial" w:cs="Arial"/>
        </w:rPr>
        <w:t xml:space="preserve"> </w:t>
      </w:r>
      <w:r w:rsidRPr="00217FAF">
        <w:rPr>
          <w:rFonts w:ascii="Arial" w:hAnsi="Arial" w:cs="Arial"/>
        </w:rPr>
        <w:t>che, con riferimento all’acquisto dei titoli, “</w:t>
      </w:r>
      <w:proofErr w:type="spellStart"/>
      <w:r w:rsidRPr="00C42194">
        <w:rPr>
          <w:rFonts w:ascii="Arial" w:hAnsi="Arial" w:cs="Arial"/>
          <w:i/>
        </w:rPr>
        <w:t>Entity</w:t>
      </w:r>
      <w:proofErr w:type="spellEnd"/>
      <w:r w:rsidRPr="00C42194">
        <w:rPr>
          <w:rFonts w:ascii="Arial" w:hAnsi="Arial" w:cs="Arial"/>
          <w:i/>
        </w:rPr>
        <w:t xml:space="preserve"> Alpha [MPS] can </w:t>
      </w:r>
      <w:proofErr w:type="spellStart"/>
      <w:r w:rsidRPr="00C42194">
        <w:rPr>
          <w:rFonts w:ascii="Arial" w:hAnsi="Arial" w:cs="Arial"/>
          <w:i/>
        </w:rPr>
        <w:t>only</w:t>
      </w:r>
      <w:proofErr w:type="spellEnd"/>
      <w:r w:rsidRPr="00C42194">
        <w:rPr>
          <w:rFonts w:ascii="Arial" w:hAnsi="Arial" w:cs="Arial"/>
          <w:i/>
        </w:rPr>
        <w:t xml:space="preserve"> </w:t>
      </w:r>
      <w:proofErr w:type="spellStart"/>
      <w:r w:rsidRPr="00C42194">
        <w:rPr>
          <w:rFonts w:ascii="Arial" w:hAnsi="Arial" w:cs="Arial"/>
          <w:i/>
        </w:rPr>
        <w:t>recognise</w:t>
      </w:r>
      <w:proofErr w:type="spellEnd"/>
      <w:r w:rsidRPr="00C42194">
        <w:rPr>
          <w:rFonts w:ascii="Arial" w:hAnsi="Arial" w:cs="Arial"/>
          <w:i/>
        </w:rPr>
        <w:t xml:space="preserve"> the bond </w:t>
      </w:r>
      <w:proofErr w:type="spellStart"/>
      <w:r w:rsidRPr="00C42194">
        <w:rPr>
          <w:rFonts w:ascii="Arial" w:hAnsi="Arial" w:cs="Arial"/>
          <w:i/>
        </w:rPr>
        <w:t>if</w:t>
      </w:r>
      <w:proofErr w:type="spellEnd"/>
      <w:r w:rsidRPr="00C42194">
        <w:rPr>
          <w:rFonts w:ascii="Arial" w:hAnsi="Arial" w:cs="Arial"/>
          <w:i/>
        </w:rPr>
        <w:t xml:space="preserve"> </w:t>
      </w:r>
      <w:proofErr w:type="spellStart"/>
      <w:r w:rsidRPr="00C42194">
        <w:rPr>
          <w:rFonts w:ascii="Arial" w:hAnsi="Arial" w:cs="Arial"/>
          <w:i/>
        </w:rPr>
        <w:t>Entity</w:t>
      </w:r>
      <w:proofErr w:type="spellEnd"/>
      <w:r w:rsidRPr="00C42194">
        <w:rPr>
          <w:rFonts w:ascii="Arial" w:hAnsi="Arial" w:cs="Arial"/>
          <w:i/>
        </w:rPr>
        <w:t xml:space="preserve"> Beta [</w:t>
      </w:r>
      <w:proofErr w:type="spellStart"/>
      <w:r w:rsidRPr="00C42194">
        <w:rPr>
          <w:rFonts w:ascii="Arial" w:hAnsi="Arial" w:cs="Arial"/>
          <w:i/>
        </w:rPr>
        <w:t>Nomura</w:t>
      </w:r>
      <w:proofErr w:type="spellEnd"/>
      <w:r w:rsidRPr="00C42194">
        <w:rPr>
          <w:rFonts w:ascii="Arial" w:hAnsi="Arial" w:cs="Arial"/>
          <w:i/>
        </w:rPr>
        <w:t xml:space="preserve">] </w:t>
      </w:r>
      <w:proofErr w:type="spellStart"/>
      <w:r w:rsidRPr="00C42194">
        <w:rPr>
          <w:rFonts w:ascii="Arial" w:hAnsi="Arial" w:cs="Arial"/>
          <w:i/>
        </w:rPr>
        <w:t>is</w:t>
      </w:r>
      <w:proofErr w:type="spellEnd"/>
      <w:r w:rsidRPr="00C42194">
        <w:rPr>
          <w:rFonts w:ascii="Arial" w:hAnsi="Arial" w:cs="Arial"/>
          <w:i/>
        </w:rPr>
        <w:t xml:space="preserve"> </w:t>
      </w:r>
      <w:proofErr w:type="spellStart"/>
      <w:r w:rsidRPr="00C42194">
        <w:rPr>
          <w:rFonts w:ascii="Arial" w:hAnsi="Arial" w:cs="Arial"/>
          <w:i/>
        </w:rPr>
        <w:t>able</w:t>
      </w:r>
      <w:proofErr w:type="spellEnd"/>
      <w:r w:rsidRPr="00C42194">
        <w:rPr>
          <w:rFonts w:ascii="Arial" w:hAnsi="Arial" w:cs="Arial"/>
          <w:i/>
        </w:rPr>
        <w:t xml:space="preserve"> to </w:t>
      </w:r>
      <w:proofErr w:type="spellStart"/>
      <w:r w:rsidRPr="00C42194">
        <w:rPr>
          <w:rFonts w:ascii="Arial" w:hAnsi="Arial" w:cs="Arial"/>
          <w:i/>
        </w:rPr>
        <w:t>derecognise</w:t>
      </w:r>
      <w:proofErr w:type="spellEnd"/>
      <w:r w:rsidRPr="00217FAF">
        <w:rPr>
          <w:rFonts w:ascii="Arial" w:hAnsi="Arial" w:cs="Arial"/>
        </w:rPr>
        <w:t>”.</w:t>
      </w:r>
    </w:p>
    <w:p w:rsidR="00B93474" w:rsidRPr="00217FAF" w:rsidRDefault="00B93474" w:rsidP="00217FAF">
      <w:pPr>
        <w:spacing w:line="360" w:lineRule="auto"/>
        <w:jc w:val="both"/>
        <w:rPr>
          <w:rFonts w:ascii="Arial" w:hAnsi="Arial" w:cs="Arial"/>
        </w:rPr>
      </w:pPr>
      <w:r w:rsidRPr="00217FAF">
        <w:rPr>
          <w:rFonts w:ascii="Arial" w:hAnsi="Arial" w:cs="Arial"/>
        </w:rPr>
        <w:t>Pertanto, solo in caso di effettivo trasferimento dei rischi e dei benefici o del controllo dei titoli</w:t>
      </w:r>
      <w:r>
        <w:rPr>
          <w:rFonts w:ascii="Arial" w:hAnsi="Arial" w:cs="Arial"/>
        </w:rPr>
        <w:t xml:space="preserve"> </w:t>
      </w:r>
      <w:r w:rsidRPr="00217FAF">
        <w:rPr>
          <w:rFonts w:ascii="Arial" w:hAnsi="Arial" w:cs="Arial"/>
        </w:rPr>
        <w:t>sottostanti dal cedente al cessionario, quest’ultimo può procedere all’iscrizione dei titoli nell’attivo</w:t>
      </w:r>
      <w:r>
        <w:rPr>
          <w:rFonts w:ascii="Arial" w:hAnsi="Arial" w:cs="Arial"/>
        </w:rPr>
        <w:t xml:space="preserve"> </w:t>
      </w:r>
      <w:r w:rsidRPr="00217FAF">
        <w:rPr>
          <w:rFonts w:ascii="Arial" w:hAnsi="Arial" w:cs="Arial"/>
        </w:rPr>
        <w:t xml:space="preserve">dello stato patrimoniale e, conseguentemente, considerare il </w:t>
      </w:r>
      <w:proofErr w:type="spellStart"/>
      <w:r w:rsidRPr="00C42194">
        <w:rPr>
          <w:rFonts w:ascii="Arial" w:hAnsi="Arial" w:cs="Arial"/>
          <w:i/>
        </w:rPr>
        <w:t>repo</w:t>
      </w:r>
      <w:proofErr w:type="spellEnd"/>
      <w:r w:rsidRPr="00217FAF">
        <w:rPr>
          <w:rFonts w:ascii="Arial" w:hAnsi="Arial" w:cs="Arial"/>
        </w:rPr>
        <w:t xml:space="preserve"> passivo come un finanziamento</w:t>
      </w:r>
      <w:r>
        <w:rPr>
          <w:rFonts w:ascii="Arial" w:hAnsi="Arial" w:cs="Arial"/>
        </w:rPr>
        <w:t xml:space="preserve"> </w:t>
      </w:r>
      <w:proofErr w:type="spellStart"/>
      <w:r w:rsidRPr="00217FAF">
        <w:rPr>
          <w:rFonts w:ascii="Arial" w:hAnsi="Arial" w:cs="Arial"/>
        </w:rPr>
        <w:t>collateralizzato</w:t>
      </w:r>
      <w:proofErr w:type="spellEnd"/>
      <w:r w:rsidRPr="00217FAF">
        <w:rPr>
          <w:rFonts w:ascii="Arial" w:hAnsi="Arial" w:cs="Arial"/>
        </w:rPr>
        <w:t>.</w:t>
      </w:r>
    </w:p>
    <w:p w:rsidR="00B93474" w:rsidRPr="00217FAF" w:rsidRDefault="00B93474" w:rsidP="00217FAF">
      <w:pPr>
        <w:spacing w:line="360" w:lineRule="auto"/>
        <w:jc w:val="both"/>
        <w:rPr>
          <w:rFonts w:ascii="Arial" w:hAnsi="Arial" w:cs="Arial"/>
        </w:rPr>
      </w:pPr>
      <w:r w:rsidRPr="00217FAF">
        <w:rPr>
          <w:rFonts w:ascii="Arial" w:hAnsi="Arial" w:cs="Arial"/>
        </w:rPr>
        <w:t>La norma generale che nel quadro dei principi IAS/IFRS disciplina la rilevazione iniziale delle</w:t>
      </w:r>
      <w:r>
        <w:rPr>
          <w:rFonts w:ascii="Arial" w:hAnsi="Arial" w:cs="Arial"/>
        </w:rPr>
        <w:t xml:space="preserve"> </w:t>
      </w:r>
      <w:r w:rsidRPr="00217FAF">
        <w:rPr>
          <w:rFonts w:ascii="Arial" w:hAnsi="Arial" w:cs="Arial"/>
        </w:rPr>
        <w:t xml:space="preserve">attività e delle passività finanziarie è contenuta nel paragrafo 14 dello IAS 39 </w:t>
      </w:r>
      <w:r w:rsidRPr="00217FAF">
        <w:rPr>
          <w:rFonts w:ascii="Arial" w:hAnsi="Arial" w:cs="Arial"/>
        </w:rPr>
        <w:lastRenderedPageBreak/>
        <w:t>secondo cui attività o</w:t>
      </w:r>
      <w:r>
        <w:rPr>
          <w:rFonts w:ascii="Arial" w:hAnsi="Arial" w:cs="Arial"/>
        </w:rPr>
        <w:t xml:space="preserve"> </w:t>
      </w:r>
      <w:r w:rsidRPr="00217FAF">
        <w:rPr>
          <w:rFonts w:ascii="Arial" w:hAnsi="Arial" w:cs="Arial"/>
        </w:rPr>
        <w:t>passività finanziarie possono essere rilevate nello stato patrimoniale quando l’entità diviene parte</w:t>
      </w:r>
      <w:r>
        <w:rPr>
          <w:rFonts w:ascii="Arial" w:hAnsi="Arial" w:cs="Arial"/>
        </w:rPr>
        <w:t xml:space="preserve"> </w:t>
      </w:r>
      <w:r w:rsidRPr="00217FAF">
        <w:rPr>
          <w:rFonts w:ascii="Arial" w:hAnsi="Arial" w:cs="Arial"/>
        </w:rPr>
        <w:t>nelle clausole contrattuali dello strumento finanziario.</w:t>
      </w:r>
    </w:p>
    <w:p w:rsidR="00B93474" w:rsidRPr="00217FAF" w:rsidRDefault="00B93474" w:rsidP="00217FAF">
      <w:pPr>
        <w:spacing w:line="360" w:lineRule="auto"/>
        <w:jc w:val="both"/>
        <w:rPr>
          <w:rFonts w:ascii="Arial" w:hAnsi="Arial" w:cs="Arial"/>
        </w:rPr>
      </w:pPr>
      <w:r w:rsidRPr="00217FAF">
        <w:rPr>
          <w:rFonts w:ascii="Arial" w:hAnsi="Arial" w:cs="Arial"/>
        </w:rPr>
        <w:t>Tale principio va letto congiuntamente con le disposizioni del paragrafo AG50 dello IAS 39 che</w:t>
      </w:r>
      <w:r>
        <w:rPr>
          <w:rFonts w:ascii="Arial" w:hAnsi="Arial" w:cs="Arial"/>
        </w:rPr>
        <w:t xml:space="preserve"> </w:t>
      </w:r>
      <w:r w:rsidRPr="00217FAF">
        <w:rPr>
          <w:rFonts w:ascii="Arial" w:hAnsi="Arial" w:cs="Arial"/>
        </w:rPr>
        <w:t>definisce il criterio di simmetria contabile nel caso dei trasferimenti di attività finanziarie. Secondo</w:t>
      </w:r>
      <w:r>
        <w:rPr>
          <w:rFonts w:ascii="Arial" w:hAnsi="Arial" w:cs="Arial"/>
        </w:rPr>
        <w:t xml:space="preserve"> </w:t>
      </w:r>
      <w:r w:rsidRPr="00217FAF">
        <w:rPr>
          <w:rFonts w:ascii="Arial" w:hAnsi="Arial" w:cs="Arial"/>
        </w:rPr>
        <w:t>tale criterio, nell’ambito di un trasferimento l’iscrizione di un’attività finanziaria è possibile solo</w:t>
      </w:r>
      <w:r>
        <w:rPr>
          <w:rFonts w:ascii="Arial" w:hAnsi="Arial" w:cs="Arial"/>
        </w:rPr>
        <w:t xml:space="preserve"> </w:t>
      </w:r>
      <w:r w:rsidRPr="00217FAF">
        <w:rPr>
          <w:rFonts w:ascii="Arial" w:hAnsi="Arial" w:cs="Arial"/>
        </w:rPr>
        <w:t>nella misura in cui per il cedente ricorrono le condizioni per l’eliminazione contabile dell’attività</w:t>
      </w:r>
      <w:r>
        <w:rPr>
          <w:rFonts w:ascii="Arial" w:hAnsi="Arial" w:cs="Arial"/>
        </w:rPr>
        <w:t xml:space="preserve"> </w:t>
      </w:r>
      <w:r w:rsidRPr="00217FAF">
        <w:rPr>
          <w:rFonts w:ascii="Arial" w:hAnsi="Arial" w:cs="Arial"/>
        </w:rPr>
        <w:t>finanziaria trasferita.</w:t>
      </w:r>
    </w:p>
    <w:p w:rsidR="00B93474" w:rsidRPr="00217FAF" w:rsidRDefault="00B93474" w:rsidP="00217FAF">
      <w:pPr>
        <w:spacing w:line="360" w:lineRule="auto"/>
        <w:jc w:val="both"/>
        <w:rPr>
          <w:rFonts w:ascii="Arial" w:hAnsi="Arial" w:cs="Arial"/>
        </w:rPr>
      </w:pPr>
      <w:r w:rsidRPr="00217FAF">
        <w:rPr>
          <w:rFonts w:ascii="Arial" w:hAnsi="Arial" w:cs="Arial"/>
        </w:rPr>
        <w:t>La norma generale per disciplinare l’eliminazione contabile delle attività finanziarie è contenuta nel</w:t>
      </w:r>
      <w:r>
        <w:rPr>
          <w:rFonts w:ascii="Arial" w:hAnsi="Arial" w:cs="Arial"/>
        </w:rPr>
        <w:t xml:space="preserve"> </w:t>
      </w:r>
      <w:r w:rsidRPr="00217FAF">
        <w:rPr>
          <w:rFonts w:ascii="Arial" w:hAnsi="Arial" w:cs="Arial"/>
        </w:rPr>
        <w:t>paragrafo 17 dello IAS 39 secondo cui un’attività finanziaria può essere eliminata quando scadono i</w:t>
      </w:r>
      <w:r>
        <w:rPr>
          <w:rFonts w:ascii="Arial" w:hAnsi="Arial" w:cs="Arial"/>
        </w:rPr>
        <w:t xml:space="preserve"> </w:t>
      </w:r>
      <w:r w:rsidRPr="00217FAF">
        <w:rPr>
          <w:rFonts w:ascii="Arial" w:hAnsi="Arial" w:cs="Arial"/>
        </w:rPr>
        <w:t>diritti contrattuali sui flussi finanziari o quando l’attività è trasferita. In proposito, il paragrafo 18</w:t>
      </w:r>
      <w:r>
        <w:rPr>
          <w:rFonts w:ascii="Arial" w:hAnsi="Arial" w:cs="Arial"/>
        </w:rPr>
        <w:t xml:space="preserve"> </w:t>
      </w:r>
      <w:r w:rsidRPr="00217FAF">
        <w:rPr>
          <w:rFonts w:ascii="Arial" w:hAnsi="Arial" w:cs="Arial"/>
        </w:rPr>
        <w:t>dello IAS 39 precisa che un’entità trasferisce un’attività finanziaria se, e soltanto se:</w:t>
      </w:r>
    </w:p>
    <w:p w:rsidR="00B93474" w:rsidRPr="00734CA7" w:rsidRDefault="00B93474" w:rsidP="00734CA7">
      <w:pPr>
        <w:pStyle w:val="Paragrafoelenco"/>
        <w:numPr>
          <w:ilvl w:val="0"/>
          <w:numId w:val="27"/>
        </w:numPr>
        <w:spacing w:line="360" w:lineRule="auto"/>
        <w:jc w:val="both"/>
        <w:rPr>
          <w:rFonts w:ascii="Arial" w:hAnsi="Arial" w:cs="Arial"/>
          <w:sz w:val="24"/>
        </w:rPr>
      </w:pPr>
      <w:r w:rsidRPr="00734CA7">
        <w:rPr>
          <w:rFonts w:ascii="Arial" w:hAnsi="Arial" w:cs="Arial"/>
          <w:sz w:val="24"/>
        </w:rPr>
        <w:t>trasferisce i diritti a ricevere i flussi finanziari o</w:t>
      </w:r>
    </w:p>
    <w:p w:rsidR="00B93474" w:rsidRPr="00734CA7" w:rsidRDefault="00B93474" w:rsidP="00734CA7">
      <w:pPr>
        <w:pStyle w:val="Paragrafoelenco"/>
        <w:numPr>
          <w:ilvl w:val="0"/>
          <w:numId w:val="27"/>
        </w:numPr>
        <w:spacing w:line="360" w:lineRule="auto"/>
        <w:jc w:val="both"/>
        <w:rPr>
          <w:rFonts w:ascii="Arial" w:hAnsi="Arial" w:cs="Arial"/>
          <w:sz w:val="24"/>
        </w:rPr>
      </w:pPr>
      <w:r w:rsidRPr="00734CA7">
        <w:rPr>
          <w:rFonts w:ascii="Arial" w:hAnsi="Arial" w:cs="Arial"/>
          <w:sz w:val="24"/>
        </w:rPr>
        <w:t xml:space="preserve">se pur mantenendo tali diritti, assume un’obbligazione contrattuale a pagare tali flussi a uno o più beneficiari. In tal caso l’obbligazione contrattuale deve rispettare talune condizioni specificate nel paragrafo 19 dello IAS 39 (c.d. </w:t>
      </w:r>
      <w:r w:rsidRPr="00734CA7">
        <w:rPr>
          <w:rFonts w:ascii="Arial" w:hAnsi="Arial" w:cs="Arial"/>
          <w:i/>
          <w:sz w:val="24"/>
        </w:rPr>
        <w:t>pass-</w:t>
      </w:r>
      <w:proofErr w:type="spellStart"/>
      <w:r w:rsidRPr="00734CA7">
        <w:rPr>
          <w:rFonts w:ascii="Arial" w:hAnsi="Arial" w:cs="Arial"/>
          <w:i/>
          <w:sz w:val="24"/>
        </w:rPr>
        <w:t>through</w:t>
      </w:r>
      <w:proofErr w:type="spellEnd"/>
      <w:r w:rsidRPr="00734CA7">
        <w:rPr>
          <w:rFonts w:ascii="Arial" w:hAnsi="Arial" w:cs="Arial"/>
          <w:i/>
          <w:sz w:val="24"/>
        </w:rPr>
        <w:t xml:space="preserve"> </w:t>
      </w:r>
      <w:proofErr w:type="spellStart"/>
      <w:r w:rsidRPr="00734CA7">
        <w:rPr>
          <w:rFonts w:ascii="Arial" w:hAnsi="Arial" w:cs="Arial"/>
          <w:i/>
          <w:sz w:val="24"/>
        </w:rPr>
        <w:t>arrangement</w:t>
      </w:r>
      <w:proofErr w:type="spellEnd"/>
      <w:r w:rsidRPr="00734CA7">
        <w:rPr>
          <w:rFonts w:ascii="Arial" w:hAnsi="Arial" w:cs="Arial"/>
          <w:sz w:val="24"/>
        </w:rPr>
        <w:t>).</w:t>
      </w:r>
    </w:p>
    <w:p w:rsidR="00B93474" w:rsidRPr="00734CA7" w:rsidRDefault="00B93474" w:rsidP="00734CA7">
      <w:pPr>
        <w:spacing w:line="360" w:lineRule="auto"/>
        <w:jc w:val="both"/>
        <w:rPr>
          <w:rFonts w:ascii="Arial" w:hAnsi="Arial" w:cs="Arial"/>
        </w:rPr>
      </w:pPr>
      <w:r w:rsidRPr="00734CA7">
        <w:rPr>
          <w:rFonts w:ascii="Arial" w:hAnsi="Arial" w:cs="Arial"/>
        </w:rPr>
        <w:t>Al fine di accertare il trasferimento di un’attività finanziaria, l’entità deve valutare la misura in cui essa mantiene i rischi e i benefici della proprietà dell’attività finanziaria. Al riguardo, il paragrafo 20 dello IAS 39 stabilisce che:</w:t>
      </w:r>
    </w:p>
    <w:p w:rsidR="00B93474" w:rsidRPr="00734CA7" w:rsidRDefault="00B93474" w:rsidP="00734CA7">
      <w:pPr>
        <w:pStyle w:val="Paragrafoelenco"/>
        <w:numPr>
          <w:ilvl w:val="0"/>
          <w:numId w:val="29"/>
        </w:numPr>
        <w:spacing w:line="360" w:lineRule="auto"/>
        <w:jc w:val="both"/>
        <w:rPr>
          <w:rFonts w:ascii="Arial" w:hAnsi="Arial" w:cs="Arial"/>
          <w:sz w:val="24"/>
        </w:rPr>
      </w:pPr>
      <w:r w:rsidRPr="00734CA7">
        <w:rPr>
          <w:rFonts w:ascii="Arial" w:hAnsi="Arial" w:cs="Arial"/>
          <w:sz w:val="24"/>
        </w:rPr>
        <w:t>se l’entità trasferisce sostanzialmente tutti i rischi e benefici della proprietà dell’attività finanziaria, l’entità deve eliminare l’attività finanziaria e rilevare separatamente come attività o passività qualsiasi diritto e obbligazione originati o mantenuti con il trasferimento;</w:t>
      </w:r>
    </w:p>
    <w:p w:rsidR="00B93474" w:rsidRPr="00734CA7" w:rsidRDefault="00B93474" w:rsidP="00734CA7">
      <w:pPr>
        <w:pStyle w:val="Paragrafoelenco"/>
        <w:numPr>
          <w:ilvl w:val="0"/>
          <w:numId w:val="29"/>
        </w:numPr>
        <w:spacing w:line="360" w:lineRule="auto"/>
        <w:jc w:val="both"/>
        <w:rPr>
          <w:rFonts w:ascii="Arial" w:hAnsi="Arial" w:cs="Arial"/>
          <w:sz w:val="24"/>
        </w:rPr>
      </w:pPr>
      <w:r w:rsidRPr="00734CA7">
        <w:rPr>
          <w:rFonts w:ascii="Arial" w:hAnsi="Arial" w:cs="Arial"/>
          <w:sz w:val="24"/>
        </w:rPr>
        <w:t>se l’entità mantiene sostanzialmente tutti i rischi e i benefici della proprietà delle attività finanziarie, l’entità deve continuare a rilevare l’attività finanziaria;</w:t>
      </w:r>
    </w:p>
    <w:p w:rsidR="00B93474" w:rsidRPr="00734CA7" w:rsidRDefault="00B93474" w:rsidP="00734CA7">
      <w:pPr>
        <w:pStyle w:val="Paragrafoelenco"/>
        <w:numPr>
          <w:ilvl w:val="0"/>
          <w:numId w:val="29"/>
        </w:numPr>
        <w:spacing w:line="360" w:lineRule="auto"/>
        <w:jc w:val="both"/>
        <w:rPr>
          <w:rFonts w:ascii="Arial" w:hAnsi="Arial" w:cs="Arial"/>
          <w:sz w:val="24"/>
        </w:rPr>
      </w:pPr>
      <w:r w:rsidRPr="00734CA7">
        <w:rPr>
          <w:rFonts w:ascii="Arial" w:hAnsi="Arial" w:cs="Arial"/>
          <w:sz w:val="24"/>
        </w:rPr>
        <w:t>se l’entità non trasferisce né mantiene sostanzialmente tutti i rischi e benefici della proprietà dell’attività finanziaria, l’entità deve determinare se ha mantenuto il controllo dell’attività finanziaria;</w:t>
      </w:r>
    </w:p>
    <w:p w:rsidR="00B93474" w:rsidRPr="00734CA7" w:rsidRDefault="00B93474" w:rsidP="00734CA7">
      <w:pPr>
        <w:pStyle w:val="Paragrafoelenco"/>
        <w:numPr>
          <w:ilvl w:val="0"/>
          <w:numId w:val="29"/>
        </w:numPr>
        <w:spacing w:line="360" w:lineRule="auto"/>
        <w:jc w:val="both"/>
        <w:rPr>
          <w:rFonts w:ascii="Arial" w:hAnsi="Arial" w:cs="Arial"/>
          <w:sz w:val="24"/>
        </w:rPr>
      </w:pPr>
      <w:r w:rsidRPr="00734CA7">
        <w:rPr>
          <w:rFonts w:ascii="Arial" w:hAnsi="Arial" w:cs="Arial"/>
          <w:sz w:val="24"/>
        </w:rPr>
        <w:t xml:space="preserve">la circostanza che l’entità abbia mantenuto il controllo dell’attività trasferita dipende dall’abilità del cessionario di vendere l’attività. Se il cessionario è in grado di vendere l’attività nella sua totalità a una terza parte non correlata ed è in grado di esercitare tale capacità unilateralmente e senza il bisogno di imporre ulteriori </w:t>
      </w:r>
      <w:r w:rsidRPr="00734CA7">
        <w:rPr>
          <w:rFonts w:ascii="Arial" w:hAnsi="Arial" w:cs="Arial"/>
          <w:sz w:val="24"/>
        </w:rPr>
        <w:lastRenderedPageBreak/>
        <w:t>restrizioni sul trasferimento, l’entità non ha mantenuto il controllo. In tutti gli altri casi, l’entità ha mantenuto il controllo.</w:t>
      </w:r>
    </w:p>
    <w:p w:rsidR="00B93474" w:rsidRDefault="00B93474" w:rsidP="00844FFD">
      <w:pPr>
        <w:spacing w:line="360" w:lineRule="auto"/>
        <w:jc w:val="both"/>
        <w:rPr>
          <w:rFonts w:ascii="Arial" w:hAnsi="Arial" w:cs="Arial"/>
        </w:rPr>
      </w:pPr>
    </w:p>
    <w:p w:rsidR="00B93474" w:rsidRPr="00D32901" w:rsidRDefault="00B93474" w:rsidP="00E75D7F">
      <w:pPr>
        <w:pStyle w:val="Paragrafoelenco"/>
        <w:numPr>
          <w:ilvl w:val="1"/>
          <w:numId w:val="25"/>
        </w:numPr>
        <w:spacing w:line="360" w:lineRule="auto"/>
        <w:jc w:val="both"/>
        <w:rPr>
          <w:rFonts w:ascii="Arial" w:hAnsi="Arial" w:cs="Arial"/>
          <w:b/>
          <w:sz w:val="24"/>
        </w:rPr>
      </w:pPr>
      <w:r w:rsidRPr="00D32901">
        <w:rPr>
          <w:rFonts w:ascii="Arial" w:hAnsi="Arial" w:cs="Arial"/>
          <w:b/>
          <w:sz w:val="24"/>
        </w:rPr>
        <w:t>I nuovi elementi informativi trasmessi dalla Procura della Repubblica presso il Tribunale di Milano</w:t>
      </w:r>
    </w:p>
    <w:p w:rsidR="00B93474" w:rsidRDefault="00B93474" w:rsidP="00844FFD">
      <w:pPr>
        <w:spacing w:line="360" w:lineRule="auto"/>
        <w:jc w:val="both"/>
        <w:rPr>
          <w:rFonts w:ascii="Arial" w:hAnsi="Arial" w:cs="Arial"/>
        </w:rPr>
      </w:pPr>
    </w:p>
    <w:p w:rsidR="00B93474" w:rsidRPr="008F09FA" w:rsidRDefault="00B93474" w:rsidP="008F09FA">
      <w:pPr>
        <w:spacing w:line="360" w:lineRule="auto"/>
        <w:jc w:val="both"/>
        <w:rPr>
          <w:rFonts w:ascii="Arial" w:hAnsi="Arial" w:cs="Arial"/>
        </w:rPr>
      </w:pPr>
      <w:r>
        <w:rPr>
          <w:rFonts w:ascii="Arial" w:hAnsi="Arial" w:cs="Arial"/>
        </w:rPr>
        <w:t xml:space="preserve">Secondo </w:t>
      </w:r>
      <w:proofErr w:type="spellStart"/>
      <w:r w:rsidR="00E15C25">
        <w:rPr>
          <w:rFonts w:ascii="Arial" w:hAnsi="Arial" w:cs="Arial"/>
        </w:rPr>
        <w:t>Consob</w:t>
      </w:r>
      <w:proofErr w:type="spellEnd"/>
      <w:r>
        <w:rPr>
          <w:rFonts w:ascii="Arial" w:hAnsi="Arial" w:cs="Arial"/>
        </w:rPr>
        <w:t>, d</w:t>
      </w:r>
      <w:r w:rsidRPr="008F09FA">
        <w:rPr>
          <w:rFonts w:ascii="Arial" w:hAnsi="Arial" w:cs="Arial"/>
        </w:rPr>
        <w:t>alla documentazione trasmessa dalla Procura di Milano nei mesi di aprile, giugno e luglio 2015,</w:t>
      </w:r>
      <w:r>
        <w:rPr>
          <w:rFonts w:ascii="Arial" w:hAnsi="Arial" w:cs="Arial"/>
        </w:rPr>
        <w:t xml:space="preserve"> </w:t>
      </w:r>
      <w:r w:rsidRPr="008F09FA">
        <w:rPr>
          <w:rFonts w:ascii="Arial" w:hAnsi="Arial" w:cs="Arial"/>
        </w:rPr>
        <w:t>sono emersi taluni elementi di novità che assumono rilevanza sulle considerazioni in ordine alle</w:t>
      </w:r>
      <w:r>
        <w:rPr>
          <w:rFonts w:ascii="Arial" w:hAnsi="Arial" w:cs="Arial"/>
        </w:rPr>
        <w:t xml:space="preserve"> </w:t>
      </w:r>
      <w:r w:rsidRPr="008F09FA">
        <w:rPr>
          <w:rFonts w:ascii="Arial" w:hAnsi="Arial" w:cs="Arial"/>
        </w:rPr>
        <w:t>modalità di contabilizzazione dell’operazione adottate dalla Banca.</w:t>
      </w:r>
    </w:p>
    <w:p w:rsidR="00B93474" w:rsidRDefault="00B93474" w:rsidP="008F09FA">
      <w:pPr>
        <w:spacing w:line="360" w:lineRule="auto"/>
        <w:jc w:val="both"/>
        <w:rPr>
          <w:rFonts w:ascii="Arial" w:hAnsi="Arial" w:cs="Arial"/>
        </w:rPr>
      </w:pPr>
      <w:r>
        <w:rPr>
          <w:rFonts w:ascii="Arial" w:hAnsi="Arial" w:cs="Arial"/>
        </w:rPr>
        <w:t>In particolare, l’Autorità di vigilanza ritiene che</w:t>
      </w:r>
      <w:r w:rsidR="00B8302B">
        <w:rPr>
          <w:rFonts w:ascii="Arial" w:hAnsi="Arial" w:cs="Arial"/>
        </w:rPr>
        <w:t xml:space="preserve"> l’interpretazione di</w:t>
      </w:r>
      <w:r>
        <w:rPr>
          <w:rFonts w:ascii="Arial" w:hAnsi="Arial" w:cs="Arial"/>
        </w:rPr>
        <w:t xml:space="preserve"> t</w:t>
      </w:r>
      <w:r w:rsidRPr="008F09FA">
        <w:rPr>
          <w:rFonts w:ascii="Arial" w:hAnsi="Arial" w:cs="Arial"/>
        </w:rPr>
        <w:t>ali nuove informazioni</w:t>
      </w:r>
      <w:r w:rsidR="00386444">
        <w:rPr>
          <w:rFonts w:ascii="Arial" w:hAnsi="Arial" w:cs="Arial"/>
        </w:rPr>
        <w:t xml:space="preserve"> </w:t>
      </w:r>
      <w:r>
        <w:rPr>
          <w:rFonts w:ascii="Arial" w:hAnsi="Arial" w:cs="Arial"/>
        </w:rPr>
        <w:t>port</w:t>
      </w:r>
      <w:r w:rsidR="00B8302B">
        <w:rPr>
          <w:rFonts w:ascii="Arial" w:hAnsi="Arial" w:cs="Arial"/>
        </w:rPr>
        <w:t>i</w:t>
      </w:r>
      <w:r>
        <w:rPr>
          <w:rFonts w:ascii="Arial" w:hAnsi="Arial" w:cs="Arial"/>
        </w:rPr>
        <w:t xml:space="preserve"> a </w:t>
      </w:r>
      <w:r w:rsidRPr="008F09FA">
        <w:rPr>
          <w:rFonts w:ascii="Arial" w:hAnsi="Arial" w:cs="Arial"/>
        </w:rPr>
        <w:t xml:space="preserve">rivedere </w:t>
      </w:r>
      <w:r>
        <w:rPr>
          <w:rFonts w:ascii="Arial" w:hAnsi="Arial" w:cs="Arial"/>
        </w:rPr>
        <w:t xml:space="preserve">il </w:t>
      </w:r>
      <w:r w:rsidRPr="008F09FA">
        <w:rPr>
          <w:rFonts w:ascii="Arial" w:hAnsi="Arial" w:cs="Arial"/>
        </w:rPr>
        <w:t>quadro informativo</w:t>
      </w:r>
      <w:r>
        <w:rPr>
          <w:rFonts w:ascii="Arial" w:hAnsi="Arial" w:cs="Arial"/>
        </w:rPr>
        <w:t xml:space="preserve"> preesistente</w:t>
      </w:r>
      <w:r w:rsidRPr="008F09FA">
        <w:rPr>
          <w:rFonts w:ascii="Arial" w:hAnsi="Arial" w:cs="Arial"/>
        </w:rPr>
        <w:t xml:space="preserve"> e</w:t>
      </w:r>
      <w:r>
        <w:rPr>
          <w:rFonts w:ascii="Arial" w:hAnsi="Arial" w:cs="Arial"/>
        </w:rPr>
        <w:t xml:space="preserve"> comport</w:t>
      </w:r>
      <w:r w:rsidR="00BF44D9">
        <w:rPr>
          <w:rFonts w:ascii="Arial" w:hAnsi="Arial" w:cs="Arial"/>
        </w:rPr>
        <w:t>i</w:t>
      </w:r>
      <w:r>
        <w:rPr>
          <w:rFonts w:ascii="Arial" w:hAnsi="Arial" w:cs="Arial"/>
        </w:rPr>
        <w:t xml:space="preserve"> una rilettura della documentazione in precedenza esaminata</w:t>
      </w:r>
      <w:r w:rsidR="007470B9">
        <w:rPr>
          <w:rFonts w:ascii="Arial" w:hAnsi="Arial" w:cs="Arial"/>
        </w:rPr>
        <w:t>.</w:t>
      </w:r>
      <w:r>
        <w:rPr>
          <w:rFonts w:ascii="Arial" w:hAnsi="Arial" w:cs="Arial"/>
        </w:rPr>
        <w:t xml:space="preserve"> Si tratta, infatti, di </w:t>
      </w:r>
      <w:r w:rsidRPr="008F09FA">
        <w:rPr>
          <w:rFonts w:ascii="Arial" w:hAnsi="Arial" w:cs="Arial"/>
        </w:rPr>
        <w:t>informazioni assunte</w:t>
      </w:r>
      <w:r>
        <w:rPr>
          <w:rFonts w:ascii="Arial" w:hAnsi="Arial" w:cs="Arial"/>
        </w:rPr>
        <w:t>,</w:t>
      </w:r>
      <w:r w:rsidRPr="008F09FA">
        <w:rPr>
          <w:rFonts w:ascii="Arial" w:hAnsi="Arial" w:cs="Arial"/>
        </w:rPr>
        <w:t xml:space="preserve"> nell’esercizio di poteri e con</w:t>
      </w:r>
      <w:r>
        <w:rPr>
          <w:rFonts w:ascii="Arial" w:hAnsi="Arial" w:cs="Arial"/>
        </w:rPr>
        <w:t xml:space="preserve"> </w:t>
      </w:r>
      <w:r w:rsidRPr="008F09FA">
        <w:rPr>
          <w:rFonts w:ascii="Arial" w:hAnsi="Arial" w:cs="Arial"/>
        </w:rPr>
        <w:t>strumenti tipici dell’indagine penale, dai Pubblici Ministeri ai sensi dell’art. 362 del c.p.p. da persone</w:t>
      </w:r>
      <w:r>
        <w:rPr>
          <w:rFonts w:ascii="Arial" w:hAnsi="Arial" w:cs="Arial"/>
        </w:rPr>
        <w:t xml:space="preserve"> </w:t>
      </w:r>
      <w:r w:rsidRPr="008F09FA">
        <w:rPr>
          <w:rFonts w:ascii="Arial" w:hAnsi="Arial" w:cs="Arial"/>
        </w:rPr>
        <w:t>che possono riferire circostanze utili alle indagini e di ulteriori elementi documentali acquisiti dagli</w:t>
      </w:r>
      <w:r>
        <w:rPr>
          <w:rFonts w:ascii="Arial" w:hAnsi="Arial" w:cs="Arial"/>
        </w:rPr>
        <w:t xml:space="preserve"> </w:t>
      </w:r>
      <w:r w:rsidRPr="008F09FA">
        <w:rPr>
          <w:rFonts w:ascii="Arial" w:hAnsi="Arial" w:cs="Arial"/>
        </w:rPr>
        <w:t>inquirenti nell’ambito delle indagini avviate sulla Banca</w:t>
      </w:r>
      <w:r>
        <w:rPr>
          <w:rFonts w:ascii="Arial" w:hAnsi="Arial" w:cs="Arial"/>
        </w:rPr>
        <w:t>.</w:t>
      </w:r>
    </w:p>
    <w:p w:rsidR="00B93474" w:rsidRPr="008F09FA" w:rsidRDefault="00B93474" w:rsidP="008F09FA">
      <w:pPr>
        <w:spacing w:line="360" w:lineRule="auto"/>
        <w:jc w:val="both"/>
        <w:rPr>
          <w:rFonts w:ascii="Arial" w:hAnsi="Arial" w:cs="Arial"/>
        </w:rPr>
      </w:pPr>
      <w:r>
        <w:rPr>
          <w:rFonts w:ascii="Arial" w:hAnsi="Arial" w:cs="Arial"/>
        </w:rPr>
        <w:t xml:space="preserve">In definitiva, secondo  </w:t>
      </w:r>
      <w:proofErr w:type="spellStart"/>
      <w:r w:rsidR="00E15C25">
        <w:rPr>
          <w:rFonts w:ascii="Arial" w:hAnsi="Arial" w:cs="Arial"/>
        </w:rPr>
        <w:t>Consob</w:t>
      </w:r>
      <w:proofErr w:type="spellEnd"/>
      <w:r>
        <w:rPr>
          <w:rFonts w:ascii="Arial" w:hAnsi="Arial" w:cs="Arial"/>
        </w:rPr>
        <w:t>, l</w:t>
      </w:r>
      <w:r w:rsidRPr="008F09FA">
        <w:rPr>
          <w:rFonts w:ascii="Arial" w:hAnsi="Arial" w:cs="Arial"/>
        </w:rPr>
        <w:t>e nuove informazioni portano</w:t>
      </w:r>
      <w:r>
        <w:rPr>
          <w:rFonts w:ascii="Arial" w:hAnsi="Arial" w:cs="Arial"/>
        </w:rPr>
        <w:t xml:space="preserve"> </w:t>
      </w:r>
      <w:r w:rsidRPr="008F09FA">
        <w:rPr>
          <w:rFonts w:ascii="Arial" w:hAnsi="Arial" w:cs="Arial"/>
        </w:rPr>
        <w:t>ad una</w:t>
      </w:r>
      <w:r>
        <w:rPr>
          <w:rFonts w:ascii="Arial" w:hAnsi="Arial" w:cs="Arial"/>
        </w:rPr>
        <w:t xml:space="preserve"> </w:t>
      </w:r>
      <w:r w:rsidRPr="008F09FA">
        <w:rPr>
          <w:rFonts w:ascii="Arial" w:hAnsi="Arial" w:cs="Arial"/>
        </w:rPr>
        <w:t xml:space="preserve">riconsiderazione complessiva del comportamento dei </w:t>
      </w:r>
      <w:r w:rsidRPr="00B0070C">
        <w:rPr>
          <w:rFonts w:ascii="Arial" w:hAnsi="Arial" w:cs="Arial"/>
          <w:i/>
        </w:rPr>
        <w:t>pro tempore</w:t>
      </w:r>
      <w:r w:rsidRPr="008F09FA">
        <w:rPr>
          <w:rFonts w:ascii="Arial" w:hAnsi="Arial" w:cs="Arial"/>
        </w:rPr>
        <w:t xml:space="preserve"> amministratori della Banca.</w:t>
      </w:r>
    </w:p>
    <w:p w:rsidR="00B93474" w:rsidRDefault="00B93474" w:rsidP="008F09FA">
      <w:pPr>
        <w:spacing w:line="360" w:lineRule="auto"/>
        <w:jc w:val="both"/>
        <w:rPr>
          <w:rFonts w:ascii="Arial" w:hAnsi="Arial" w:cs="Arial"/>
        </w:rPr>
      </w:pPr>
    </w:p>
    <w:p w:rsidR="00B93474" w:rsidRPr="008F09FA" w:rsidRDefault="00B93474" w:rsidP="008F09FA">
      <w:pPr>
        <w:spacing w:line="360" w:lineRule="auto"/>
        <w:jc w:val="both"/>
        <w:rPr>
          <w:rFonts w:ascii="Arial" w:hAnsi="Arial" w:cs="Arial"/>
        </w:rPr>
      </w:pPr>
      <w:r w:rsidRPr="008F09FA">
        <w:rPr>
          <w:rFonts w:ascii="Arial" w:hAnsi="Arial" w:cs="Arial"/>
        </w:rPr>
        <w:t xml:space="preserve">In </w:t>
      </w:r>
      <w:r>
        <w:rPr>
          <w:rFonts w:ascii="Arial" w:hAnsi="Arial" w:cs="Arial"/>
        </w:rPr>
        <w:t>sintesi</w:t>
      </w:r>
      <w:r w:rsidRPr="008F09FA">
        <w:rPr>
          <w:rFonts w:ascii="Arial" w:hAnsi="Arial" w:cs="Arial"/>
        </w:rPr>
        <w:t xml:space="preserve">, </w:t>
      </w:r>
      <w:r>
        <w:rPr>
          <w:rFonts w:ascii="Arial" w:hAnsi="Arial" w:cs="Arial"/>
        </w:rPr>
        <w:t xml:space="preserve">secondo la Commissione, </w:t>
      </w:r>
      <w:r w:rsidRPr="008F09FA">
        <w:rPr>
          <w:rFonts w:ascii="Arial" w:hAnsi="Arial" w:cs="Arial"/>
        </w:rPr>
        <w:t>sulla base di tali accertamenti, risulta che:</w:t>
      </w:r>
    </w:p>
    <w:p w:rsidR="00B93474" w:rsidRPr="0093657A" w:rsidRDefault="00B93474" w:rsidP="00B0070C">
      <w:pPr>
        <w:pStyle w:val="Paragrafoelenco"/>
        <w:numPr>
          <w:ilvl w:val="0"/>
          <w:numId w:val="31"/>
        </w:numPr>
        <w:spacing w:line="360" w:lineRule="auto"/>
        <w:jc w:val="both"/>
        <w:rPr>
          <w:rFonts w:ascii="Arial" w:hAnsi="Arial" w:cs="Arial"/>
          <w:sz w:val="24"/>
        </w:rPr>
      </w:pPr>
      <w:r>
        <w:rPr>
          <w:rFonts w:ascii="Arial" w:hAnsi="Arial" w:cs="Arial"/>
          <w:sz w:val="24"/>
        </w:rPr>
        <w:t>l’acquisto dei</w:t>
      </w:r>
      <w:r w:rsidRPr="0093657A">
        <w:rPr>
          <w:rFonts w:ascii="Arial" w:hAnsi="Arial" w:cs="Arial"/>
          <w:sz w:val="24"/>
        </w:rPr>
        <w:t xml:space="preserve"> BTP sostitutivi</w:t>
      </w:r>
      <w:r>
        <w:rPr>
          <w:rFonts w:ascii="Arial" w:hAnsi="Arial" w:cs="Arial"/>
          <w:sz w:val="24"/>
        </w:rPr>
        <w:t xml:space="preserve"> (2033, 2039 e 2040) in luogo dei BTP 2034 era una circostanza concordata tra </w:t>
      </w:r>
      <w:proofErr w:type="spellStart"/>
      <w:r>
        <w:rPr>
          <w:rFonts w:ascii="Arial" w:hAnsi="Arial" w:cs="Arial"/>
          <w:sz w:val="24"/>
        </w:rPr>
        <w:t>Nomura</w:t>
      </w:r>
      <w:proofErr w:type="spellEnd"/>
      <w:r>
        <w:rPr>
          <w:rFonts w:ascii="Arial" w:hAnsi="Arial" w:cs="Arial"/>
          <w:sz w:val="24"/>
        </w:rPr>
        <w:t xml:space="preserve"> e BMPS o quanto meno nota a quest’ultima</w:t>
      </w:r>
      <w:r w:rsidRPr="0093657A">
        <w:rPr>
          <w:rFonts w:ascii="Arial" w:hAnsi="Arial" w:cs="Arial"/>
          <w:sz w:val="24"/>
        </w:rPr>
        <w:t>;</w:t>
      </w:r>
    </w:p>
    <w:p w:rsidR="00B93474" w:rsidRPr="00B0070C" w:rsidRDefault="00B93474" w:rsidP="00B0070C">
      <w:pPr>
        <w:pStyle w:val="Paragrafoelenco"/>
        <w:numPr>
          <w:ilvl w:val="0"/>
          <w:numId w:val="31"/>
        </w:numPr>
        <w:spacing w:line="360" w:lineRule="auto"/>
        <w:jc w:val="both"/>
        <w:rPr>
          <w:rFonts w:ascii="Arial" w:hAnsi="Arial" w:cs="Arial"/>
          <w:sz w:val="24"/>
        </w:rPr>
      </w:pPr>
      <w:r w:rsidRPr="00B0070C">
        <w:rPr>
          <w:rFonts w:ascii="Arial" w:hAnsi="Arial" w:cs="Arial"/>
          <w:sz w:val="24"/>
        </w:rPr>
        <w:t xml:space="preserve">il prezzo attribuito ai </w:t>
      </w:r>
      <w:r>
        <w:rPr>
          <w:rFonts w:ascii="Arial" w:hAnsi="Arial" w:cs="Arial"/>
          <w:sz w:val="24"/>
        </w:rPr>
        <w:t>BTP 2034 è</w:t>
      </w:r>
      <w:r w:rsidRPr="00B0070C">
        <w:rPr>
          <w:rFonts w:ascii="Arial" w:hAnsi="Arial" w:cs="Arial"/>
          <w:sz w:val="24"/>
        </w:rPr>
        <w:t xml:space="preserve"> stato determinato sulla base del prezzo dei titoli sostitutivi realmente acquistati da </w:t>
      </w:r>
      <w:proofErr w:type="spellStart"/>
      <w:r w:rsidRPr="00B0070C">
        <w:rPr>
          <w:rFonts w:ascii="Arial" w:hAnsi="Arial" w:cs="Arial"/>
          <w:sz w:val="24"/>
        </w:rPr>
        <w:t>Nomura</w:t>
      </w:r>
      <w:proofErr w:type="spellEnd"/>
      <w:r w:rsidRPr="00B0070C">
        <w:rPr>
          <w:rFonts w:ascii="Arial" w:hAnsi="Arial" w:cs="Arial"/>
          <w:sz w:val="24"/>
        </w:rPr>
        <w:t>;</w:t>
      </w:r>
    </w:p>
    <w:p w:rsidR="00587208" w:rsidRDefault="00B93474" w:rsidP="00587208">
      <w:pPr>
        <w:pStyle w:val="Paragrafoelenco"/>
        <w:numPr>
          <w:ilvl w:val="0"/>
          <w:numId w:val="31"/>
        </w:numPr>
        <w:spacing w:line="360" w:lineRule="auto"/>
        <w:jc w:val="both"/>
        <w:rPr>
          <w:rFonts w:ascii="Arial" w:hAnsi="Arial" w:cs="Arial"/>
          <w:sz w:val="24"/>
        </w:rPr>
      </w:pPr>
      <w:r w:rsidRPr="00DC4298">
        <w:rPr>
          <w:rFonts w:ascii="Arial" w:hAnsi="Arial" w:cs="Arial"/>
          <w:sz w:val="24"/>
        </w:rPr>
        <w:t xml:space="preserve">il </w:t>
      </w:r>
      <w:r w:rsidRPr="00DC4298">
        <w:rPr>
          <w:rFonts w:ascii="Arial" w:hAnsi="Arial" w:cs="Arial"/>
          <w:i/>
          <w:sz w:val="24"/>
        </w:rPr>
        <w:t>management pro tempore</w:t>
      </w:r>
      <w:r w:rsidRPr="00DC4298">
        <w:rPr>
          <w:rFonts w:ascii="Arial" w:hAnsi="Arial" w:cs="Arial"/>
        </w:rPr>
        <w:t xml:space="preserve"> di BMPS </w:t>
      </w:r>
      <w:r w:rsidRPr="0076328A">
        <w:rPr>
          <w:rFonts w:ascii="Arial" w:hAnsi="Arial" w:cs="Arial"/>
          <w:sz w:val="24"/>
        </w:rPr>
        <w:t xml:space="preserve">era a conoscenza del fatto che </w:t>
      </w:r>
      <w:proofErr w:type="spellStart"/>
      <w:r w:rsidRPr="0076328A">
        <w:rPr>
          <w:rFonts w:ascii="Arial" w:hAnsi="Arial" w:cs="Arial"/>
          <w:sz w:val="24"/>
        </w:rPr>
        <w:t>Nomura</w:t>
      </w:r>
      <w:proofErr w:type="spellEnd"/>
      <w:r w:rsidRPr="0076328A">
        <w:rPr>
          <w:rFonts w:ascii="Arial" w:hAnsi="Arial" w:cs="Arial"/>
          <w:sz w:val="24"/>
        </w:rPr>
        <w:t xml:space="preserve"> aveva acquistato i BTP sostitutivi.</w:t>
      </w:r>
    </w:p>
    <w:p w:rsidR="00587208" w:rsidRPr="0022594F" w:rsidRDefault="00587208" w:rsidP="0022594F">
      <w:pPr>
        <w:pStyle w:val="Paragrafoelenco"/>
        <w:spacing w:line="360" w:lineRule="auto"/>
        <w:jc w:val="both"/>
        <w:rPr>
          <w:rFonts w:ascii="Arial" w:hAnsi="Arial" w:cs="Arial"/>
          <w:sz w:val="24"/>
        </w:rPr>
      </w:pPr>
    </w:p>
    <w:p w:rsidR="00B93474" w:rsidRDefault="00B93474" w:rsidP="000F2869">
      <w:pPr>
        <w:pStyle w:val="Paragrafoelenco"/>
        <w:spacing w:line="360" w:lineRule="auto"/>
        <w:jc w:val="both"/>
        <w:rPr>
          <w:rFonts w:ascii="Arial" w:hAnsi="Arial" w:cs="Arial"/>
        </w:rPr>
      </w:pPr>
    </w:p>
    <w:p w:rsidR="00B93474" w:rsidRPr="00D32901" w:rsidRDefault="00B93474" w:rsidP="00E75D7F">
      <w:pPr>
        <w:pStyle w:val="Paragrafoelenco"/>
        <w:numPr>
          <w:ilvl w:val="0"/>
          <w:numId w:val="24"/>
        </w:numPr>
        <w:spacing w:line="360" w:lineRule="auto"/>
        <w:jc w:val="both"/>
        <w:rPr>
          <w:rFonts w:ascii="Arial" w:hAnsi="Arial" w:cs="Arial"/>
          <w:b/>
          <w:sz w:val="24"/>
        </w:rPr>
      </w:pPr>
      <w:r w:rsidRPr="00D32901">
        <w:rPr>
          <w:rFonts w:ascii="Arial" w:hAnsi="Arial" w:cs="Arial"/>
          <w:b/>
          <w:sz w:val="24"/>
        </w:rPr>
        <w:t xml:space="preserve">CARENZE  E CRITICITA’ RILEVATE DALLA </w:t>
      </w:r>
      <w:r w:rsidR="00E15C25" w:rsidRPr="00D32901">
        <w:rPr>
          <w:rFonts w:ascii="Arial" w:hAnsi="Arial" w:cs="Arial"/>
          <w:b/>
          <w:sz w:val="24"/>
        </w:rPr>
        <w:t>CONSOB</w:t>
      </w:r>
      <w:r w:rsidRPr="00D32901">
        <w:rPr>
          <w:rFonts w:ascii="Arial" w:hAnsi="Arial" w:cs="Arial"/>
          <w:b/>
          <w:sz w:val="24"/>
        </w:rPr>
        <w:t xml:space="preserve"> IN ORDINE ALLA CORRETTEZZA CONTABILE DEL BILANCIO CONSOLIDATO E D’ESERCIZIO AL </w:t>
      </w:r>
      <w:r w:rsidRPr="00D32901">
        <w:rPr>
          <w:rFonts w:ascii="Arial" w:hAnsi="Arial" w:cs="Arial"/>
          <w:b/>
          <w:sz w:val="24"/>
        </w:rPr>
        <w:lastRenderedPageBreak/>
        <w:t>31 DICEMBRE 2014 E DELLA RELAZIONE FINANZIARIA SEMESTRALE AL 30 GIUGNO 2015</w:t>
      </w:r>
    </w:p>
    <w:p w:rsidR="00B93474" w:rsidRPr="008F09FA" w:rsidRDefault="00B93474" w:rsidP="008F09FA">
      <w:pPr>
        <w:spacing w:line="360" w:lineRule="auto"/>
        <w:jc w:val="both"/>
        <w:rPr>
          <w:rFonts w:ascii="Arial" w:hAnsi="Arial" w:cs="Arial"/>
        </w:rPr>
      </w:pPr>
      <w:r w:rsidRPr="008F09FA">
        <w:rPr>
          <w:rFonts w:ascii="Arial" w:hAnsi="Arial" w:cs="Arial"/>
        </w:rPr>
        <w:t>La documentazione trasmessa dalla Procura di Milano nel corso del 2015 rappresenta</w:t>
      </w:r>
      <w:r>
        <w:rPr>
          <w:rFonts w:ascii="Arial" w:hAnsi="Arial" w:cs="Arial"/>
        </w:rPr>
        <w:t>, a giudizio</w:t>
      </w:r>
      <w:r w:rsidR="007470B9">
        <w:rPr>
          <w:rFonts w:ascii="Arial" w:hAnsi="Arial" w:cs="Arial"/>
        </w:rPr>
        <w:t xml:space="preserve"> </w:t>
      </w:r>
      <w:r>
        <w:rPr>
          <w:rFonts w:ascii="Arial" w:hAnsi="Arial" w:cs="Arial"/>
        </w:rPr>
        <w:t>dell’Autorità,</w:t>
      </w:r>
      <w:r w:rsidRPr="008F09FA">
        <w:rPr>
          <w:rFonts w:ascii="Arial" w:hAnsi="Arial" w:cs="Arial"/>
        </w:rPr>
        <w:t xml:space="preserve"> un rilevante</w:t>
      </w:r>
      <w:r>
        <w:rPr>
          <w:rFonts w:ascii="Arial" w:hAnsi="Arial" w:cs="Arial"/>
        </w:rPr>
        <w:t xml:space="preserve"> </w:t>
      </w:r>
      <w:r w:rsidRPr="008F09FA">
        <w:rPr>
          <w:rFonts w:ascii="Arial" w:hAnsi="Arial" w:cs="Arial"/>
        </w:rPr>
        <w:t>elemento di novità che, a seguito di una rilettura complessiva di tutti gli elementi informativi a</w:t>
      </w:r>
      <w:r>
        <w:rPr>
          <w:rFonts w:ascii="Arial" w:hAnsi="Arial" w:cs="Arial"/>
        </w:rPr>
        <w:t xml:space="preserve"> </w:t>
      </w:r>
      <w:r w:rsidRPr="008F09FA">
        <w:rPr>
          <w:rFonts w:ascii="Arial" w:hAnsi="Arial" w:cs="Arial"/>
        </w:rPr>
        <w:t>disposizione, conduce ad una diversa comprensione dell’intero quadro informativo concernente i</w:t>
      </w:r>
      <w:r>
        <w:rPr>
          <w:rFonts w:ascii="Arial" w:hAnsi="Arial" w:cs="Arial"/>
        </w:rPr>
        <w:t xml:space="preserve"> </w:t>
      </w:r>
      <w:r w:rsidRPr="008F09FA">
        <w:rPr>
          <w:rFonts w:ascii="Arial" w:hAnsi="Arial" w:cs="Arial"/>
        </w:rPr>
        <w:t>contratti in esame ed, in particolare, ad una diversa valutazione della sussistenza degli indicatori</w:t>
      </w:r>
      <w:r>
        <w:rPr>
          <w:rFonts w:ascii="Arial" w:hAnsi="Arial" w:cs="Arial"/>
        </w:rPr>
        <w:t xml:space="preserve"> </w:t>
      </w:r>
      <w:r w:rsidRPr="008F09FA">
        <w:rPr>
          <w:rFonts w:ascii="Arial" w:hAnsi="Arial" w:cs="Arial"/>
        </w:rPr>
        <w:t>previsti dai principi contabili di riferimento per procedere ad una registrazione a saldi aperti delle</w:t>
      </w:r>
      <w:r>
        <w:rPr>
          <w:rFonts w:ascii="Arial" w:hAnsi="Arial" w:cs="Arial"/>
        </w:rPr>
        <w:t xml:space="preserve"> </w:t>
      </w:r>
      <w:r w:rsidRPr="008F09FA">
        <w:rPr>
          <w:rFonts w:ascii="Arial" w:hAnsi="Arial" w:cs="Arial"/>
        </w:rPr>
        <w:t xml:space="preserve">diverse transazioni. Il mancato acquisto dei BTP 2034 da parte di </w:t>
      </w:r>
      <w:proofErr w:type="spellStart"/>
      <w:r w:rsidRPr="008F09FA">
        <w:rPr>
          <w:rFonts w:ascii="Arial" w:hAnsi="Arial" w:cs="Arial"/>
        </w:rPr>
        <w:t>Nomura</w:t>
      </w:r>
      <w:proofErr w:type="spellEnd"/>
      <w:r w:rsidRPr="008F09FA">
        <w:rPr>
          <w:rFonts w:ascii="Arial" w:hAnsi="Arial" w:cs="Arial"/>
        </w:rPr>
        <w:t xml:space="preserve">, </w:t>
      </w:r>
      <w:r>
        <w:rPr>
          <w:rFonts w:ascii="Arial" w:hAnsi="Arial" w:cs="Arial"/>
        </w:rPr>
        <w:t xml:space="preserve">che secondo </w:t>
      </w:r>
      <w:proofErr w:type="spellStart"/>
      <w:r w:rsidR="00E15C25">
        <w:rPr>
          <w:rFonts w:ascii="Arial" w:hAnsi="Arial" w:cs="Arial"/>
        </w:rPr>
        <w:t>Consob</w:t>
      </w:r>
      <w:proofErr w:type="spellEnd"/>
      <w:r>
        <w:rPr>
          <w:rFonts w:ascii="Arial" w:hAnsi="Arial" w:cs="Arial"/>
        </w:rPr>
        <w:t xml:space="preserve"> sarebbe avvenuto </w:t>
      </w:r>
      <w:r w:rsidRPr="008F09FA">
        <w:rPr>
          <w:rFonts w:ascii="Arial" w:hAnsi="Arial" w:cs="Arial"/>
        </w:rPr>
        <w:t>con il consenso e secondo</w:t>
      </w:r>
      <w:r>
        <w:rPr>
          <w:rFonts w:ascii="Arial" w:hAnsi="Arial" w:cs="Arial"/>
        </w:rPr>
        <w:t xml:space="preserve"> </w:t>
      </w:r>
      <w:r w:rsidRPr="008F09FA">
        <w:rPr>
          <w:rFonts w:ascii="Arial" w:hAnsi="Arial" w:cs="Arial"/>
        </w:rPr>
        <w:t xml:space="preserve">le indicazioni del </w:t>
      </w:r>
      <w:r w:rsidRPr="00B0070C">
        <w:rPr>
          <w:rFonts w:ascii="Arial" w:hAnsi="Arial" w:cs="Arial"/>
          <w:i/>
        </w:rPr>
        <w:t>pro tempore management</w:t>
      </w:r>
      <w:r w:rsidRPr="008F09FA">
        <w:rPr>
          <w:rFonts w:ascii="Arial" w:hAnsi="Arial" w:cs="Arial"/>
        </w:rPr>
        <w:t xml:space="preserve"> di BMPS</w:t>
      </w:r>
      <w:r>
        <w:rPr>
          <w:rFonts w:ascii="Arial" w:hAnsi="Arial" w:cs="Arial"/>
        </w:rPr>
        <w:t xml:space="preserve"> (cioè del vertice aziendale che effettuò l’operazione)</w:t>
      </w:r>
      <w:r w:rsidRPr="008F09FA">
        <w:rPr>
          <w:rFonts w:ascii="Arial" w:hAnsi="Arial" w:cs="Arial"/>
        </w:rPr>
        <w:t xml:space="preserve">, </w:t>
      </w:r>
      <w:r>
        <w:rPr>
          <w:rFonts w:ascii="Arial" w:hAnsi="Arial" w:cs="Arial"/>
        </w:rPr>
        <w:t>rappresenta</w:t>
      </w:r>
      <w:r w:rsidRPr="008F09FA">
        <w:rPr>
          <w:rFonts w:ascii="Arial" w:hAnsi="Arial" w:cs="Arial"/>
        </w:rPr>
        <w:t xml:space="preserve">, infatti, </w:t>
      </w:r>
      <w:r>
        <w:rPr>
          <w:rFonts w:ascii="Arial" w:hAnsi="Arial" w:cs="Arial"/>
        </w:rPr>
        <w:t xml:space="preserve">a parere della stessa Autorità, </w:t>
      </w:r>
      <w:r w:rsidRPr="008F09FA">
        <w:rPr>
          <w:rFonts w:ascii="Arial" w:hAnsi="Arial" w:cs="Arial"/>
        </w:rPr>
        <w:t>un elemento</w:t>
      </w:r>
      <w:r w:rsidR="00B8302B">
        <w:rPr>
          <w:rFonts w:ascii="Arial" w:hAnsi="Arial" w:cs="Arial"/>
        </w:rPr>
        <w:t xml:space="preserve"> assai</w:t>
      </w:r>
      <w:r w:rsidRPr="008F09FA">
        <w:rPr>
          <w:rFonts w:ascii="Arial" w:hAnsi="Arial" w:cs="Arial"/>
        </w:rPr>
        <w:t xml:space="preserve"> rilevante ai fini delle</w:t>
      </w:r>
      <w:r>
        <w:rPr>
          <w:rFonts w:ascii="Arial" w:hAnsi="Arial" w:cs="Arial"/>
        </w:rPr>
        <w:t xml:space="preserve"> </w:t>
      </w:r>
      <w:r w:rsidRPr="008F09FA">
        <w:rPr>
          <w:rFonts w:ascii="Arial" w:hAnsi="Arial" w:cs="Arial"/>
        </w:rPr>
        <w:t>valutazioni della modalità di contabilizzazione dell’operazione e del “</w:t>
      </w:r>
      <w:proofErr w:type="spellStart"/>
      <w:r w:rsidRPr="00B0070C">
        <w:rPr>
          <w:rFonts w:ascii="Arial" w:hAnsi="Arial" w:cs="Arial"/>
          <w:i/>
        </w:rPr>
        <w:t>substantive</w:t>
      </w:r>
      <w:proofErr w:type="spellEnd"/>
      <w:r w:rsidRPr="00B0070C">
        <w:rPr>
          <w:rFonts w:ascii="Arial" w:hAnsi="Arial" w:cs="Arial"/>
          <w:i/>
        </w:rPr>
        <w:t xml:space="preserve"> business </w:t>
      </w:r>
      <w:proofErr w:type="spellStart"/>
      <w:r w:rsidRPr="00B0070C">
        <w:rPr>
          <w:rFonts w:ascii="Arial" w:hAnsi="Arial" w:cs="Arial"/>
          <w:i/>
        </w:rPr>
        <w:t>purpose</w:t>
      </w:r>
      <w:proofErr w:type="spellEnd"/>
      <w:r w:rsidRPr="008F09FA">
        <w:rPr>
          <w:rFonts w:ascii="Arial" w:hAnsi="Arial" w:cs="Arial"/>
        </w:rPr>
        <w:t>”</w:t>
      </w:r>
      <w:r>
        <w:rPr>
          <w:rFonts w:ascii="Arial" w:hAnsi="Arial" w:cs="Arial"/>
        </w:rPr>
        <w:t xml:space="preserve"> </w:t>
      </w:r>
      <w:r w:rsidRPr="008F09FA">
        <w:rPr>
          <w:rFonts w:ascii="Arial" w:hAnsi="Arial" w:cs="Arial"/>
        </w:rPr>
        <w:t>delle transazioni.</w:t>
      </w:r>
    </w:p>
    <w:p w:rsidR="00B93474" w:rsidRDefault="00B93474" w:rsidP="008F09FA">
      <w:pPr>
        <w:spacing w:line="360" w:lineRule="auto"/>
        <w:jc w:val="both"/>
        <w:rPr>
          <w:rFonts w:ascii="Arial" w:hAnsi="Arial" w:cs="Arial"/>
        </w:rPr>
      </w:pPr>
    </w:p>
    <w:p w:rsidR="00B93474" w:rsidRPr="008F09FA" w:rsidRDefault="00B93474" w:rsidP="008F09FA">
      <w:pPr>
        <w:spacing w:line="360" w:lineRule="auto"/>
        <w:jc w:val="both"/>
        <w:rPr>
          <w:rFonts w:ascii="Arial" w:hAnsi="Arial" w:cs="Arial"/>
        </w:rPr>
      </w:pPr>
      <w:r w:rsidRPr="008F09FA">
        <w:rPr>
          <w:rFonts w:ascii="Arial" w:hAnsi="Arial" w:cs="Arial"/>
        </w:rPr>
        <w:t xml:space="preserve">Alla luce delle nuove evidenze informative </w:t>
      </w:r>
      <w:proofErr w:type="spellStart"/>
      <w:r w:rsidR="00E15C25">
        <w:rPr>
          <w:rFonts w:ascii="Arial" w:hAnsi="Arial" w:cs="Arial"/>
        </w:rPr>
        <w:t>Consob</w:t>
      </w:r>
      <w:proofErr w:type="spellEnd"/>
      <w:r>
        <w:rPr>
          <w:rFonts w:ascii="Arial" w:hAnsi="Arial" w:cs="Arial"/>
        </w:rPr>
        <w:t xml:space="preserve"> </w:t>
      </w:r>
      <w:r w:rsidRPr="008F09FA">
        <w:rPr>
          <w:rFonts w:ascii="Arial" w:hAnsi="Arial" w:cs="Arial"/>
        </w:rPr>
        <w:t>ritiene, innanzitutto, che non sussistano le condizioni</w:t>
      </w:r>
      <w:r>
        <w:rPr>
          <w:rFonts w:ascii="Arial" w:hAnsi="Arial" w:cs="Arial"/>
        </w:rPr>
        <w:t xml:space="preserve"> </w:t>
      </w:r>
      <w:r w:rsidRPr="008F09FA">
        <w:rPr>
          <w:rFonts w:ascii="Arial" w:hAnsi="Arial" w:cs="Arial"/>
        </w:rPr>
        <w:t>previste dai principi contabili internazionali per procedere all’iscrizione dei BTP 2034 nel bilancio di</w:t>
      </w:r>
      <w:r>
        <w:rPr>
          <w:rFonts w:ascii="Arial" w:hAnsi="Arial" w:cs="Arial"/>
        </w:rPr>
        <w:t xml:space="preserve"> </w:t>
      </w:r>
      <w:r w:rsidRPr="008F09FA">
        <w:rPr>
          <w:rFonts w:ascii="Arial" w:hAnsi="Arial" w:cs="Arial"/>
        </w:rPr>
        <w:t>BMPS. I principi contabili internazionali, ed in particolare lo IAS 39 paragrafo 14, stabiliscono che</w:t>
      </w:r>
      <w:r>
        <w:rPr>
          <w:rFonts w:ascii="Arial" w:hAnsi="Arial" w:cs="Arial"/>
        </w:rPr>
        <w:t xml:space="preserve"> </w:t>
      </w:r>
      <w:r w:rsidRPr="008F09FA">
        <w:rPr>
          <w:rFonts w:ascii="Arial" w:hAnsi="Arial" w:cs="Arial"/>
        </w:rPr>
        <w:t>un’entità può rilevare un’attività finanziaria quando e solo quando diventa parte nei diritti e/o negli</w:t>
      </w:r>
      <w:r>
        <w:rPr>
          <w:rFonts w:ascii="Arial" w:hAnsi="Arial" w:cs="Arial"/>
        </w:rPr>
        <w:t xml:space="preserve"> </w:t>
      </w:r>
      <w:r w:rsidRPr="008F09FA">
        <w:rPr>
          <w:rFonts w:ascii="Arial" w:hAnsi="Arial" w:cs="Arial"/>
        </w:rPr>
        <w:t>obblighi contrattuali previsti dallo strumento finanziario</w:t>
      </w:r>
      <w:r>
        <w:rPr>
          <w:rFonts w:ascii="Arial" w:hAnsi="Arial" w:cs="Arial"/>
        </w:rPr>
        <w:t>.</w:t>
      </w:r>
      <w:r w:rsidRPr="008F09FA">
        <w:rPr>
          <w:rFonts w:ascii="Arial" w:hAnsi="Arial" w:cs="Arial"/>
        </w:rPr>
        <w:t xml:space="preserve"> Il paragrafo AG50 dello IAS 39 stabilisce</w:t>
      </w:r>
      <w:r>
        <w:rPr>
          <w:rFonts w:ascii="Arial" w:hAnsi="Arial" w:cs="Arial"/>
        </w:rPr>
        <w:t>,</w:t>
      </w:r>
      <w:r w:rsidRPr="008F09FA">
        <w:rPr>
          <w:rFonts w:ascii="Arial" w:hAnsi="Arial" w:cs="Arial"/>
        </w:rPr>
        <w:t xml:space="preserve"> inoltre</w:t>
      </w:r>
      <w:r>
        <w:rPr>
          <w:rFonts w:ascii="Arial" w:hAnsi="Arial" w:cs="Arial"/>
        </w:rPr>
        <w:t>,</w:t>
      </w:r>
      <w:r w:rsidRPr="008F09FA">
        <w:rPr>
          <w:rFonts w:ascii="Arial" w:hAnsi="Arial" w:cs="Arial"/>
        </w:rPr>
        <w:t xml:space="preserve"> una regola di “simmetria” tra cedente e</w:t>
      </w:r>
      <w:r>
        <w:rPr>
          <w:rFonts w:ascii="Arial" w:hAnsi="Arial" w:cs="Arial"/>
        </w:rPr>
        <w:t xml:space="preserve"> </w:t>
      </w:r>
      <w:r w:rsidRPr="008F09FA">
        <w:rPr>
          <w:rFonts w:ascii="Arial" w:hAnsi="Arial" w:cs="Arial"/>
        </w:rPr>
        <w:t>cessionario, tale per cui il cessionario iscrive l’attività nella misura in cui il cedente la cancella.</w:t>
      </w:r>
    </w:p>
    <w:p w:rsidR="00B93474" w:rsidRPr="008F09FA" w:rsidRDefault="00B93474" w:rsidP="008F09FA">
      <w:pPr>
        <w:spacing w:line="360" w:lineRule="auto"/>
        <w:jc w:val="both"/>
        <w:rPr>
          <w:rFonts w:ascii="Arial" w:hAnsi="Arial" w:cs="Arial"/>
        </w:rPr>
      </w:pPr>
      <w:r>
        <w:rPr>
          <w:rFonts w:ascii="Arial" w:hAnsi="Arial" w:cs="Arial"/>
        </w:rPr>
        <w:t xml:space="preserve">Secondo l’Autorità, </w:t>
      </w:r>
      <w:r w:rsidRPr="008F09FA">
        <w:rPr>
          <w:rFonts w:ascii="Arial" w:hAnsi="Arial" w:cs="Arial"/>
        </w:rPr>
        <w:t>BMPS poteva dunque iscrivere i titoli BTP 2034</w:t>
      </w:r>
      <w:r>
        <w:rPr>
          <w:rFonts w:ascii="Arial" w:hAnsi="Arial" w:cs="Arial"/>
        </w:rPr>
        <w:t>,</w:t>
      </w:r>
      <w:r w:rsidRPr="008F09FA">
        <w:rPr>
          <w:rFonts w:ascii="Arial" w:hAnsi="Arial" w:cs="Arial"/>
        </w:rPr>
        <w:t xml:space="preserve"> in ragione del contratto di </w:t>
      </w:r>
      <w:proofErr w:type="spellStart"/>
      <w:r w:rsidRPr="00AB45DA">
        <w:rPr>
          <w:rFonts w:ascii="Arial" w:hAnsi="Arial" w:cs="Arial"/>
          <w:i/>
        </w:rPr>
        <w:t>asset</w:t>
      </w:r>
      <w:proofErr w:type="spellEnd"/>
      <w:r w:rsidRPr="00AB45DA">
        <w:rPr>
          <w:rFonts w:ascii="Arial" w:hAnsi="Arial" w:cs="Arial"/>
          <w:i/>
        </w:rPr>
        <w:t xml:space="preserve"> swap</w:t>
      </w:r>
      <w:r w:rsidRPr="008F09FA">
        <w:rPr>
          <w:rFonts w:ascii="Arial" w:hAnsi="Arial" w:cs="Arial"/>
        </w:rPr>
        <w:t>, solo se</w:t>
      </w:r>
      <w:r>
        <w:rPr>
          <w:rFonts w:ascii="Arial" w:hAnsi="Arial" w:cs="Arial"/>
        </w:rPr>
        <w:t xml:space="preserve"> </w:t>
      </w:r>
      <w:r w:rsidRPr="008F09FA">
        <w:rPr>
          <w:rFonts w:ascii="Arial" w:hAnsi="Arial" w:cs="Arial"/>
        </w:rPr>
        <w:t xml:space="preserve">risultavano soddisfatte per </w:t>
      </w:r>
      <w:proofErr w:type="spellStart"/>
      <w:r w:rsidRPr="008F09FA">
        <w:rPr>
          <w:rFonts w:ascii="Arial" w:hAnsi="Arial" w:cs="Arial"/>
        </w:rPr>
        <w:t>Nomura</w:t>
      </w:r>
      <w:proofErr w:type="spellEnd"/>
      <w:r w:rsidRPr="008F09FA">
        <w:rPr>
          <w:rFonts w:ascii="Arial" w:hAnsi="Arial" w:cs="Arial"/>
        </w:rPr>
        <w:t xml:space="preserve"> le condizioni per procedere all’eliminazione contabile</w:t>
      </w:r>
      <w:r>
        <w:rPr>
          <w:rFonts w:ascii="Arial" w:hAnsi="Arial" w:cs="Arial"/>
        </w:rPr>
        <w:t xml:space="preserve"> </w:t>
      </w:r>
      <w:r w:rsidRPr="008F09FA">
        <w:rPr>
          <w:rFonts w:ascii="Arial" w:hAnsi="Arial" w:cs="Arial"/>
        </w:rPr>
        <w:t>(</w:t>
      </w:r>
      <w:proofErr w:type="spellStart"/>
      <w:r w:rsidRPr="00B0070C">
        <w:rPr>
          <w:rFonts w:ascii="Arial" w:hAnsi="Arial" w:cs="Arial"/>
          <w:i/>
        </w:rPr>
        <w:t>derecognition</w:t>
      </w:r>
      <w:proofErr w:type="spellEnd"/>
      <w:r w:rsidRPr="008F09FA">
        <w:rPr>
          <w:rFonts w:ascii="Arial" w:hAnsi="Arial" w:cs="Arial"/>
        </w:rPr>
        <w:t>) di tali titoli.</w:t>
      </w:r>
    </w:p>
    <w:p w:rsidR="00B93474" w:rsidRDefault="00B93474" w:rsidP="008F09FA">
      <w:pPr>
        <w:spacing w:line="360" w:lineRule="auto"/>
        <w:jc w:val="both"/>
        <w:rPr>
          <w:rFonts w:ascii="Arial" w:hAnsi="Arial" w:cs="Arial"/>
        </w:rPr>
      </w:pPr>
      <w:r w:rsidRPr="008F09FA">
        <w:rPr>
          <w:rFonts w:ascii="Arial" w:hAnsi="Arial" w:cs="Arial"/>
        </w:rPr>
        <w:t xml:space="preserve">Nel caso di specie, infatti, dall’esame della nuova documentazione </w:t>
      </w:r>
      <w:r>
        <w:rPr>
          <w:rFonts w:ascii="Arial" w:hAnsi="Arial" w:cs="Arial"/>
        </w:rPr>
        <w:t xml:space="preserve">trasmessa dalla Procura, secondo </w:t>
      </w:r>
      <w:proofErr w:type="spellStart"/>
      <w:r w:rsidR="00E15C25">
        <w:rPr>
          <w:rFonts w:ascii="Arial" w:hAnsi="Arial" w:cs="Arial"/>
        </w:rPr>
        <w:t>Consob</w:t>
      </w:r>
      <w:proofErr w:type="spellEnd"/>
      <w:r>
        <w:rPr>
          <w:rFonts w:ascii="Arial" w:hAnsi="Arial" w:cs="Arial"/>
        </w:rPr>
        <w:t xml:space="preserve"> risulterebbe </w:t>
      </w:r>
      <w:r w:rsidRPr="008F09FA">
        <w:rPr>
          <w:rFonts w:ascii="Arial" w:hAnsi="Arial" w:cs="Arial"/>
        </w:rPr>
        <w:t xml:space="preserve">che il </w:t>
      </w:r>
      <w:r w:rsidRPr="00B0070C">
        <w:rPr>
          <w:rFonts w:ascii="Arial" w:hAnsi="Arial" w:cs="Arial"/>
          <w:i/>
        </w:rPr>
        <w:t xml:space="preserve">pro-tempore management </w:t>
      </w:r>
      <w:r w:rsidRPr="008F09FA">
        <w:rPr>
          <w:rFonts w:ascii="Arial" w:hAnsi="Arial" w:cs="Arial"/>
        </w:rPr>
        <w:t>di BMPS disponeva di informazioni in ordine al mancato acquisto</w:t>
      </w:r>
      <w:r>
        <w:rPr>
          <w:rFonts w:ascii="Arial" w:hAnsi="Arial" w:cs="Arial"/>
        </w:rPr>
        <w:t xml:space="preserve"> </w:t>
      </w:r>
      <w:r w:rsidRPr="008F09FA">
        <w:rPr>
          <w:rFonts w:ascii="Arial" w:hAnsi="Arial" w:cs="Arial"/>
        </w:rPr>
        <w:t xml:space="preserve">dei BTP 2034 da parte di </w:t>
      </w:r>
      <w:proofErr w:type="spellStart"/>
      <w:r w:rsidRPr="008F09FA">
        <w:rPr>
          <w:rFonts w:ascii="Arial" w:hAnsi="Arial" w:cs="Arial"/>
        </w:rPr>
        <w:t>Nomura</w:t>
      </w:r>
      <w:proofErr w:type="spellEnd"/>
      <w:r w:rsidRPr="008F09FA">
        <w:rPr>
          <w:rFonts w:ascii="Arial" w:hAnsi="Arial" w:cs="Arial"/>
        </w:rPr>
        <w:t xml:space="preserve">. </w:t>
      </w:r>
      <w:r>
        <w:rPr>
          <w:rFonts w:ascii="Arial" w:hAnsi="Arial" w:cs="Arial"/>
        </w:rPr>
        <w:t xml:space="preserve">A tale conclusione </w:t>
      </w:r>
      <w:proofErr w:type="spellStart"/>
      <w:r w:rsidR="00E15C25">
        <w:rPr>
          <w:rFonts w:ascii="Arial" w:hAnsi="Arial" w:cs="Arial"/>
        </w:rPr>
        <w:t>Consob</w:t>
      </w:r>
      <w:proofErr w:type="spellEnd"/>
      <w:r>
        <w:rPr>
          <w:rFonts w:ascii="Arial" w:hAnsi="Arial" w:cs="Arial"/>
        </w:rPr>
        <w:t xml:space="preserve"> giunge, in particolare, sulla base dell’esame di alcune</w:t>
      </w:r>
      <w:r w:rsidRPr="008F09FA">
        <w:rPr>
          <w:rFonts w:ascii="Arial" w:hAnsi="Arial" w:cs="Arial"/>
        </w:rPr>
        <w:t xml:space="preserve"> dichiarazioni rese da</w:t>
      </w:r>
      <w:r>
        <w:rPr>
          <w:rFonts w:ascii="Arial" w:hAnsi="Arial" w:cs="Arial"/>
        </w:rPr>
        <w:t xml:space="preserve">i dipendenti di </w:t>
      </w:r>
      <w:proofErr w:type="spellStart"/>
      <w:r>
        <w:rPr>
          <w:rFonts w:ascii="Arial" w:hAnsi="Arial" w:cs="Arial"/>
        </w:rPr>
        <w:t>Nomura</w:t>
      </w:r>
      <w:proofErr w:type="spellEnd"/>
      <w:r>
        <w:rPr>
          <w:rFonts w:ascii="Arial" w:hAnsi="Arial" w:cs="Arial"/>
        </w:rPr>
        <w:t xml:space="preserve"> e d</w:t>
      </w:r>
      <w:r w:rsidR="006525B3">
        <w:rPr>
          <w:rFonts w:ascii="Arial" w:hAnsi="Arial" w:cs="Arial"/>
        </w:rPr>
        <w:t>i</w:t>
      </w:r>
      <w:r>
        <w:rPr>
          <w:rFonts w:ascii="Arial" w:hAnsi="Arial" w:cs="Arial"/>
        </w:rPr>
        <w:t xml:space="preserve"> alcune </w:t>
      </w:r>
      <w:r w:rsidRPr="00AB45DA">
        <w:rPr>
          <w:rFonts w:ascii="Arial" w:hAnsi="Arial" w:cs="Arial"/>
          <w:i/>
        </w:rPr>
        <w:t>email</w:t>
      </w:r>
      <w:r>
        <w:rPr>
          <w:rFonts w:ascii="Arial" w:hAnsi="Arial" w:cs="Arial"/>
        </w:rPr>
        <w:t xml:space="preserve"> tra strutture operative (</w:t>
      </w:r>
      <w:r w:rsidRPr="001E6229">
        <w:rPr>
          <w:rFonts w:ascii="Arial" w:hAnsi="Arial" w:cs="Arial"/>
          <w:i/>
        </w:rPr>
        <w:t>front</w:t>
      </w:r>
      <w:r>
        <w:rPr>
          <w:rFonts w:ascii="Arial" w:hAnsi="Arial" w:cs="Arial"/>
        </w:rPr>
        <w:t xml:space="preserve"> e </w:t>
      </w:r>
      <w:r w:rsidRPr="001E6229">
        <w:rPr>
          <w:rFonts w:ascii="Arial" w:hAnsi="Arial" w:cs="Arial"/>
          <w:i/>
        </w:rPr>
        <w:t>back office</w:t>
      </w:r>
      <w:r>
        <w:rPr>
          <w:rFonts w:ascii="Arial" w:hAnsi="Arial" w:cs="Arial"/>
        </w:rPr>
        <w:t xml:space="preserve">) di BMPS e </w:t>
      </w:r>
      <w:proofErr w:type="spellStart"/>
      <w:r>
        <w:rPr>
          <w:rFonts w:ascii="Arial" w:hAnsi="Arial" w:cs="Arial"/>
        </w:rPr>
        <w:t>Nomura</w:t>
      </w:r>
      <w:proofErr w:type="spellEnd"/>
      <w:r>
        <w:rPr>
          <w:rFonts w:ascii="Arial" w:hAnsi="Arial" w:cs="Arial"/>
        </w:rPr>
        <w:t>.</w:t>
      </w:r>
    </w:p>
    <w:p w:rsidR="00B93474" w:rsidRPr="008F09FA" w:rsidRDefault="00B93474" w:rsidP="008F09FA">
      <w:pPr>
        <w:spacing w:line="360" w:lineRule="auto"/>
        <w:jc w:val="both"/>
        <w:rPr>
          <w:rFonts w:ascii="Arial" w:hAnsi="Arial" w:cs="Arial"/>
        </w:rPr>
      </w:pPr>
    </w:p>
    <w:p w:rsidR="00B93474" w:rsidRDefault="00B93474" w:rsidP="008F09FA">
      <w:pPr>
        <w:spacing w:line="360" w:lineRule="auto"/>
        <w:jc w:val="both"/>
        <w:rPr>
          <w:rFonts w:ascii="Arial" w:hAnsi="Arial" w:cs="Arial"/>
        </w:rPr>
      </w:pPr>
      <w:r>
        <w:rPr>
          <w:rFonts w:ascii="Arial" w:hAnsi="Arial" w:cs="Arial"/>
        </w:rPr>
        <w:t xml:space="preserve">Pertanto, secondo </w:t>
      </w:r>
      <w:proofErr w:type="spellStart"/>
      <w:r w:rsidR="00E15C25">
        <w:rPr>
          <w:rFonts w:ascii="Arial" w:hAnsi="Arial" w:cs="Arial"/>
        </w:rPr>
        <w:t>Consob</w:t>
      </w:r>
      <w:proofErr w:type="spellEnd"/>
      <w:r>
        <w:rPr>
          <w:rFonts w:ascii="Arial" w:hAnsi="Arial" w:cs="Arial"/>
        </w:rPr>
        <w:t>, p</w:t>
      </w:r>
      <w:r w:rsidRPr="008F09FA">
        <w:rPr>
          <w:rFonts w:ascii="Arial" w:hAnsi="Arial" w:cs="Arial"/>
        </w:rPr>
        <w:t xml:space="preserve">oiché </w:t>
      </w:r>
      <w:proofErr w:type="spellStart"/>
      <w:r w:rsidRPr="008F09FA">
        <w:rPr>
          <w:rFonts w:ascii="Arial" w:hAnsi="Arial" w:cs="Arial"/>
        </w:rPr>
        <w:t>Nomura</w:t>
      </w:r>
      <w:proofErr w:type="spellEnd"/>
      <w:r w:rsidRPr="008F09FA">
        <w:rPr>
          <w:rFonts w:ascii="Arial" w:hAnsi="Arial" w:cs="Arial"/>
        </w:rPr>
        <w:t xml:space="preserve"> non ha mai acquistato lo strumento finanziario sul mercato</w:t>
      </w:r>
      <w:r>
        <w:rPr>
          <w:rFonts w:ascii="Arial" w:hAnsi="Arial" w:cs="Arial"/>
        </w:rPr>
        <w:t>,</w:t>
      </w:r>
      <w:r w:rsidRPr="008F09FA">
        <w:rPr>
          <w:rFonts w:ascii="Arial" w:hAnsi="Arial" w:cs="Arial"/>
        </w:rPr>
        <w:t xml:space="preserve"> non </w:t>
      </w:r>
      <w:r>
        <w:rPr>
          <w:rFonts w:ascii="Arial" w:hAnsi="Arial" w:cs="Arial"/>
        </w:rPr>
        <w:t xml:space="preserve">poteva </w:t>
      </w:r>
      <w:r w:rsidRPr="008F09FA">
        <w:rPr>
          <w:rFonts w:ascii="Arial" w:hAnsi="Arial" w:cs="Arial"/>
        </w:rPr>
        <w:t>effettuare</w:t>
      </w:r>
      <w:r>
        <w:rPr>
          <w:rFonts w:ascii="Arial" w:hAnsi="Arial" w:cs="Arial"/>
        </w:rPr>
        <w:t xml:space="preserve"> </w:t>
      </w:r>
      <w:r w:rsidRPr="008F09FA">
        <w:rPr>
          <w:rFonts w:ascii="Arial" w:hAnsi="Arial" w:cs="Arial"/>
        </w:rPr>
        <w:t>l’eliminazione contabile e non</w:t>
      </w:r>
      <w:r>
        <w:rPr>
          <w:rFonts w:ascii="Arial" w:hAnsi="Arial" w:cs="Arial"/>
        </w:rPr>
        <w:t xml:space="preserve"> poteva </w:t>
      </w:r>
      <w:r w:rsidRPr="008F09FA">
        <w:rPr>
          <w:rFonts w:ascii="Arial" w:hAnsi="Arial" w:cs="Arial"/>
        </w:rPr>
        <w:t>trasferire tutti i rischi e i benefici associati al titolo. Alla luce del</w:t>
      </w:r>
      <w:r>
        <w:rPr>
          <w:rFonts w:ascii="Arial" w:hAnsi="Arial" w:cs="Arial"/>
        </w:rPr>
        <w:t xml:space="preserve"> </w:t>
      </w:r>
      <w:r w:rsidRPr="008F09FA">
        <w:rPr>
          <w:rFonts w:ascii="Arial" w:hAnsi="Arial" w:cs="Arial"/>
        </w:rPr>
        <w:t>complessivo quadro informativo</w:t>
      </w:r>
      <w:r>
        <w:rPr>
          <w:rFonts w:ascii="Arial" w:hAnsi="Arial" w:cs="Arial"/>
        </w:rPr>
        <w:t>, quindi,</w:t>
      </w:r>
      <w:r w:rsidRPr="008F09FA">
        <w:rPr>
          <w:rFonts w:ascii="Arial" w:hAnsi="Arial" w:cs="Arial"/>
        </w:rPr>
        <w:t xml:space="preserve"> </w:t>
      </w:r>
      <w:r>
        <w:rPr>
          <w:rFonts w:ascii="Arial" w:hAnsi="Arial" w:cs="Arial"/>
        </w:rPr>
        <w:t xml:space="preserve">secondo la Commissione </w:t>
      </w:r>
      <w:r w:rsidRPr="008F09FA">
        <w:rPr>
          <w:rFonts w:ascii="Arial" w:hAnsi="Arial" w:cs="Arial"/>
        </w:rPr>
        <w:t>risulta che BMPS non aveva assunto alcuna titolarità dei diritti</w:t>
      </w:r>
      <w:r>
        <w:rPr>
          <w:rFonts w:ascii="Arial" w:hAnsi="Arial" w:cs="Arial"/>
        </w:rPr>
        <w:t xml:space="preserve"> </w:t>
      </w:r>
      <w:r w:rsidRPr="008F09FA">
        <w:rPr>
          <w:rFonts w:ascii="Arial" w:hAnsi="Arial" w:cs="Arial"/>
        </w:rPr>
        <w:t>contrattuali inerenti i titoli BTP 2034, non ne risultava esposta ai relativi rischi e benefici e non</w:t>
      </w:r>
      <w:r>
        <w:rPr>
          <w:rFonts w:ascii="Arial" w:hAnsi="Arial" w:cs="Arial"/>
        </w:rPr>
        <w:t xml:space="preserve"> </w:t>
      </w:r>
      <w:r w:rsidRPr="008F09FA">
        <w:rPr>
          <w:rFonts w:ascii="Arial" w:hAnsi="Arial" w:cs="Arial"/>
        </w:rPr>
        <w:t>poteva, di conseguenza, procedere all’iscrizione degli stessi nel proprio bilancio</w:t>
      </w:r>
      <w:r>
        <w:rPr>
          <w:rFonts w:ascii="Arial" w:hAnsi="Arial" w:cs="Arial"/>
        </w:rPr>
        <w:t>.</w:t>
      </w:r>
    </w:p>
    <w:p w:rsidR="00B93474" w:rsidRDefault="00B93474" w:rsidP="008F09FA">
      <w:pPr>
        <w:spacing w:line="360" w:lineRule="auto"/>
        <w:jc w:val="both"/>
        <w:rPr>
          <w:rFonts w:ascii="Arial" w:hAnsi="Arial" w:cs="Arial"/>
        </w:rPr>
      </w:pPr>
    </w:p>
    <w:p w:rsidR="00B93474" w:rsidRPr="008F09FA" w:rsidRDefault="00B93474" w:rsidP="008F09FA">
      <w:pPr>
        <w:spacing w:line="360" w:lineRule="auto"/>
        <w:jc w:val="both"/>
        <w:rPr>
          <w:rFonts w:ascii="Arial" w:hAnsi="Arial" w:cs="Arial"/>
        </w:rPr>
      </w:pPr>
      <w:r>
        <w:rPr>
          <w:rFonts w:ascii="Arial" w:hAnsi="Arial" w:cs="Arial"/>
        </w:rPr>
        <w:t>Inoltre, a parere d</w:t>
      </w:r>
      <w:r w:rsidR="00B8302B">
        <w:rPr>
          <w:rFonts w:ascii="Arial" w:hAnsi="Arial" w:cs="Arial"/>
        </w:rPr>
        <w:t>i</w:t>
      </w:r>
      <w:r>
        <w:rPr>
          <w:rFonts w:ascii="Arial" w:hAnsi="Arial" w:cs="Arial"/>
        </w:rPr>
        <w:t xml:space="preserve"> </w:t>
      </w:r>
      <w:proofErr w:type="spellStart"/>
      <w:r w:rsidR="00E15C25">
        <w:rPr>
          <w:rFonts w:ascii="Arial" w:hAnsi="Arial" w:cs="Arial"/>
        </w:rPr>
        <w:t>Consob</w:t>
      </w:r>
      <w:proofErr w:type="spellEnd"/>
      <w:r>
        <w:rPr>
          <w:rFonts w:ascii="Arial" w:hAnsi="Arial" w:cs="Arial"/>
        </w:rPr>
        <w:t xml:space="preserve">, </w:t>
      </w:r>
      <w:r w:rsidR="00B8302B">
        <w:rPr>
          <w:rFonts w:ascii="Arial" w:hAnsi="Arial" w:cs="Arial"/>
        </w:rPr>
        <w:t>l’interpretazione delle</w:t>
      </w:r>
      <w:r w:rsidRPr="008F09FA">
        <w:rPr>
          <w:rFonts w:ascii="Arial" w:hAnsi="Arial" w:cs="Arial"/>
        </w:rPr>
        <w:t xml:space="preserve"> nuove informazioni trasmesse dalla Procura di Milano porta</w:t>
      </w:r>
      <w:r>
        <w:rPr>
          <w:rFonts w:ascii="Arial" w:hAnsi="Arial" w:cs="Arial"/>
        </w:rPr>
        <w:t xml:space="preserve"> </w:t>
      </w:r>
      <w:r w:rsidRPr="008F09FA">
        <w:rPr>
          <w:rFonts w:ascii="Arial" w:hAnsi="Arial" w:cs="Arial"/>
        </w:rPr>
        <w:t>ad una diversa</w:t>
      </w:r>
      <w:r>
        <w:rPr>
          <w:rFonts w:ascii="Arial" w:hAnsi="Arial" w:cs="Arial"/>
        </w:rPr>
        <w:t xml:space="preserve"> </w:t>
      </w:r>
      <w:r w:rsidRPr="008F09FA">
        <w:rPr>
          <w:rFonts w:ascii="Arial" w:hAnsi="Arial" w:cs="Arial"/>
        </w:rPr>
        <w:t>valutazione</w:t>
      </w:r>
      <w:r>
        <w:rPr>
          <w:rFonts w:ascii="Arial" w:hAnsi="Arial" w:cs="Arial"/>
        </w:rPr>
        <w:t xml:space="preserve"> </w:t>
      </w:r>
      <w:r w:rsidRPr="008F09FA">
        <w:rPr>
          <w:rFonts w:ascii="Arial" w:hAnsi="Arial" w:cs="Arial"/>
        </w:rPr>
        <w:t>del “</w:t>
      </w:r>
      <w:proofErr w:type="spellStart"/>
      <w:r w:rsidRPr="001453D9">
        <w:rPr>
          <w:rFonts w:ascii="Arial" w:hAnsi="Arial" w:cs="Arial"/>
          <w:i/>
        </w:rPr>
        <w:t>substantive</w:t>
      </w:r>
      <w:proofErr w:type="spellEnd"/>
      <w:r w:rsidRPr="001453D9">
        <w:rPr>
          <w:rFonts w:ascii="Arial" w:hAnsi="Arial" w:cs="Arial"/>
          <w:i/>
        </w:rPr>
        <w:t xml:space="preserve"> business </w:t>
      </w:r>
      <w:proofErr w:type="spellStart"/>
      <w:r w:rsidRPr="001453D9">
        <w:rPr>
          <w:rFonts w:ascii="Arial" w:hAnsi="Arial" w:cs="Arial"/>
          <w:i/>
        </w:rPr>
        <w:t>purpose</w:t>
      </w:r>
      <w:proofErr w:type="spellEnd"/>
      <w:r w:rsidRPr="008F09FA">
        <w:rPr>
          <w:rFonts w:ascii="Arial" w:hAnsi="Arial" w:cs="Arial"/>
        </w:rPr>
        <w:t>” sinora rappresentato da</w:t>
      </w:r>
      <w:r>
        <w:rPr>
          <w:rFonts w:ascii="Arial" w:hAnsi="Arial" w:cs="Arial"/>
        </w:rPr>
        <w:t xml:space="preserve"> BMPS</w:t>
      </w:r>
      <w:r w:rsidRPr="008F09FA">
        <w:rPr>
          <w:rFonts w:ascii="Arial" w:hAnsi="Arial" w:cs="Arial"/>
        </w:rPr>
        <w:t>. Come detto,</w:t>
      </w:r>
      <w:r>
        <w:rPr>
          <w:rFonts w:ascii="Arial" w:hAnsi="Arial" w:cs="Arial"/>
        </w:rPr>
        <w:t xml:space="preserve"> </w:t>
      </w:r>
      <w:r w:rsidRPr="008F09FA">
        <w:rPr>
          <w:rFonts w:ascii="Arial" w:hAnsi="Arial" w:cs="Arial"/>
        </w:rPr>
        <w:t>infatti, ai sensi delle disposizioni previste dai paragrafi IG B.6, IG C.6 dello IAS 39 e AG39 dello</w:t>
      </w:r>
      <w:r>
        <w:rPr>
          <w:rFonts w:ascii="Arial" w:hAnsi="Arial" w:cs="Arial"/>
        </w:rPr>
        <w:t xml:space="preserve"> </w:t>
      </w:r>
      <w:r w:rsidRPr="008F09FA">
        <w:rPr>
          <w:rFonts w:ascii="Arial" w:hAnsi="Arial" w:cs="Arial"/>
        </w:rPr>
        <w:t>IAS 32, indicate dall’IFRS IC, uno degli elementi rilevanti al fine di consentire una contabilizzazione</w:t>
      </w:r>
      <w:r>
        <w:rPr>
          <w:rFonts w:ascii="Arial" w:hAnsi="Arial" w:cs="Arial"/>
        </w:rPr>
        <w:t xml:space="preserve"> “</w:t>
      </w:r>
      <w:r w:rsidRPr="008F09FA">
        <w:rPr>
          <w:rFonts w:ascii="Arial" w:hAnsi="Arial" w:cs="Arial"/>
        </w:rPr>
        <w:t>a saldi aperti</w:t>
      </w:r>
      <w:r>
        <w:rPr>
          <w:rFonts w:ascii="Arial" w:hAnsi="Arial" w:cs="Arial"/>
        </w:rPr>
        <w:t>”</w:t>
      </w:r>
      <w:r w:rsidRPr="008F09FA">
        <w:rPr>
          <w:rFonts w:ascii="Arial" w:hAnsi="Arial" w:cs="Arial"/>
        </w:rPr>
        <w:t xml:space="preserve"> delle diverse transazioni è rappresentato dalla finalità economica dell’operazione.</w:t>
      </w:r>
    </w:p>
    <w:p w:rsidR="00B93474" w:rsidRPr="008F09FA" w:rsidRDefault="00B93474" w:rsidP="00AB45DA">
      <w:pPr>
        <w:spacing w:line="360" w:lineRule="auto"/>
        <w:jc w:val="both"/>
        <w:rPr>
          <w:rFonts w:ascii="Arial" w:hAnsi="Arial" w:cs="Arial"/>
        </w:rPr>
      </w:pPr>
      <w:r w:rsidRPr="008F09FA">
        <w:rPr>
          <w:rFonts w:ascii="Arial" w:hAnsi="Arial" w:cs="Arial"/>
        </w:rPr>
        <w:t xml:space="preserve">BMPS ha adottato una contabilizzazione </w:t>
      </w:r>
      <w:r>
        <w:rPr>
          <w:rFonts w:ascii="Arial" w:hAnsi="Arial" w:cs="Arial"/>
        </w:rPr>
        <w:t>“</w:t>
      </w:r>
      <w:r w:rsidRPr="008F09FA">
        <w:rPr>
          <w:rFonts w:ascii="Arial" w:hAnsi="Arial" w:cs="Arial"/>
        </w:rPr>
        <w:t>a saldi aperti</w:t>
      </w:r>
      <w:r>
        <w:rPr>
          <w:rFonts w:ascii="Arial" w:hAnsi="Arial" w:cs="Arial"/>
        </w:rPr>
        <w:t>”</w:t>
      </w:r>
      <w:r w:rsidRPr="008F09FA">
        <w:rPr>
          <w:rFonts w:ascii="Arial" w:hAnsi="Arial" w:cs="Arial"/>
        </w:rPr>
        <w:t xml:space="preserve"> ritenendola idonea a fornire una</w:t>
      </w:r>
      <w:r>
        <w:rPr>
          <w:rFonts w:ascii="Arial" w:hAnsi="Arial" w:cs="Arial"/>
        </w:rPr>
        <w:t xml:space="preserve"> </w:t>
      </w:r>
      <w:r w:rsidRPr="008F09FA">
        <w:rPr>
          <w:rFonts w:ascii="Arial" w:hAnsi="Arial" w:cs="Arial"/>
        </w:rPr>
        <w:t xml:space="preserve">rappresentazione attendibile delle diverse transazioni </w:t>
      </w:r>
      <w:r>
        <w:rPr>
          <w:rFonts w:ascii="Arial" w:hAnsi="Arial" w:cs="Arial"/>
        </w:rPr>
        <w:t xml:space="preserve">in quanto l’operazione </w:t>
      </w:r>
      <w:r w:rsidRPr="008F09FA">
        <w:rPr>
          <w:rFonts w:ascii="Arial" w:hAnsi="Arial" w:cs="Arial"/>
        </w:rPr>
        <w:t>era volta ad assumere una posizione in titoli di Stato e cogliere un</w:t>
      </w:r>
      <w:r>
        <w:rPr>
          <w:rFonts w:ascii="Arial" w:hAnsi="Arial" w:cs="Arial"/>
        </w:rPr>
        <w:t xml:space="preserve"> </w:t>
      </w:r>
      <w:r w:rsidRPr="008F09FA">
        <w:rPr>
          <w:rFonts w:ascii="Arial" w:hAnsi="Arial" w:cs="Arial"/>
        </w:rPr>
        <w:t>contributo positivo al margine di interesse mediante l’assunzione di un’esposizione in titoli</w:t>
      </w:r>
      <w:r>
        <w:rPr>
          <w:rFonts w:ascii="Arial" w:hAnsi="Arial" w:cs="Arial"/>
        </w:rPr>
        <w:t xml:space="preserve"> </w:t>
      </w:r>
      <w:r w:rsidRPr="008F09FA">
        <w:rPr>
          <w:rFonts w:ascii="Arial" w:hAnsi="Arial" w:cs="Arial"/>
        </w:rPr>
        <w:t xml:space="preserve">governativi e </w:t>
      </w:r>
      <w:r>
        <w:rPr>
          <w:rFonts w:ascii="Arial" w:hAnsi="Arial" w:cs="Arial"/>
        </w:rPr>
        <w:t xml:space="preserve">con un limitato </w:t>
      </w:r>
      <w:r w:rsidRPr="008F09FA">
        <w:rPr>
          <w:rFonts w:ascii="Arial" w:hAnsi="Arial" w:cs="Arial"/>
        </w:rPr>
        <w:t>assorbimento di liquidità. L’elemento</w:t>
      </w:r>
      <w:r>
        <w:rPr>
          <w:rFonts w:ascii="Arial" w:hAnsi="Arial" w:cs="Arial"/>
        </w:rPr>
        <w:t xml:space="preserve"> </w:t>
      </w:r>
      <w:r w:rsidRPr="008F09FA">
        <w:rPr>
          <w:rFonts w:ascii="Arial" w:hAnsi="Arial" w:cs="Arial"/>
        </w:rPr>
        <w:t>caratterizzante è quindi rappresentato dalla volontà di acquistare dei titoli di Stato da iscrivere nel</w:t>
      </w:r>
      <w:r>
        <w:rPr>
          <w:rFonts w:ascii="Arial" w:hAnsi="Arial" w:cs="Arial"/>
        </w:rPr>
        <w:t xml:space="preserve"> </w:t>
      </w:r>
      <w:r w:rsidRPr="008F09FA">
        <w:rPr>
          <w:rFonts w:ascii="Arial" w:hAnsi="Arial" w:cs="Arial"/>
        </w:rPr>
        <w:t>proprio portafoglio di investimento.</w:t>
      </w:r>
    </w:p>
    <w:p w:rsidR="00B93474" w:rsidRPr="008F09FA" w:rsidRDefault="00B93474" w:rsidP="008F09FA">
      <w:pPr>
        <w:spacing w:line="360" w:lineRule="auto"/>
        <w:jc w:val="both"/>
        <w:rPr>
          <w:rFonts w:ascii="Arial" w:hAnsi="Arial" w:cs="Arial"/>
        </w:rPr>
      </w:pPr>
      <w:r>
        <w:rPr>
          <w:rFonts w:ascii="Arial" w:hAnsi="Arial" w:cs="Arial"/>
        </w:rPr>
        <w:t xml:space="preserve">Secondo  </w:t>
      </w:r>
      <w:proofErr w:type="spellStart"/>
      <w:r w:rsidR="00E15C25">
        <w:rPr>
          <w:rFonts w:ascii="Arial" w:hAnsi="Arial" w:cs="Arial"/>
        </w:rPr>
        <w:t>Consob</w:t>
      </w:r>
      <w:proofErr w:type="spellEnd"/>
      <w:r>
        <w:rPr>
          <w:rFonts w:ascii="Arial" w:hAnsi="Arial" w:cs="Arial"/>
        </w:rPr>
        <w:t>, l</w:t>
      </w:r>
      <w:r w:rsidRPr="008F09FA">
        <w:rPr>
          <w:rFonts w:ascii="Arial" w:hAnsi="Arial" w:cs="Arial"/>
        </w:rPr>
        <w:t>e nuove evidenze acquisite per il tramite della Procura di Milano non confermano la</w:t>
      </w:r>
      <w:r>
        <w:rPr>
          <w:rFonts w:ascii="Arial" w:hAnsi="Arial" w:cs="Arial"/>
        </w:rPr>
        <w:t xml:space="preserve"> </w:t>
      </w:r>
      <w:r w:rsidRPr="008F09FA">
        <w:rPr>
          <w:rFonts w:ascii="Arial" w:hAnsi="Arial" w:cs="Arial"/>
        </w:rPr>
        <w:t xml:space="preserve">summenzionata finalità economica </w:t>
      </w:r>
      <w:r>
        <w:rPr>
          <w:rFonts w:ascii="Arial" w:hAnsi="Arial" w:cs="Arial"/>
        </w:rPr>
        <w:t xml:space="preserve">ma mostrano </w:t>
      </w:r>
      <w:r w:rsidRPr="008F09FA">
        <w:rPr>
          <w:rFonts w:ascii="Arial" w:hAnsi="Arial" w:cs="Arial"/>
        </w:rPr>
        <w:t>che:</w:t>
      </w:r>
    </w:p>
    <w:p w:rsidR="00B93474" w:rsidRPr="009075A8" w:rsidRDefault="00B93474" w:rsidP="009075A8">
      <w:pPr>
        <w:pStyle w:val="Paragrafoelenco"/>
        <w:numPr>
          <w:ilvl w:val="0"/>
          <w:numId w:val="33"/>
        </w:numPr>
        <w:spacing w:line="360" w:lineRule="auto"/>
        <w:jc w:val="both"/>
        <w:rPr>
          <w:rFonts w:ascii="Arial" w:hAnsi="Arial" w:cs="Arial"/>
          <w:sz w:val="24"/>
        </w:rPr>
      </w:pPr>
      <w:r w:rsidRPr="009075A8">
        <w:rPr>
          <w:rFonts w:ascii="Arial" w:hAnsi="Arial" w:cs="Arial"/>
          <w:sz w:val="24"/>
        </w:rPr>
        <w:t xml:space="preserve">i titoli BTP 2034 non sono stati mai acquistati da </w:t>
      </w:r>
      <w:proofErr w:type="spellStart"/>
      <w:r w:rsidRPr="009075A8">
        <w:rPr>
          <w:rFonts w:ascii="Arial" w:hAnsi="Arial" w:cs="Arial"/>
          <w:sz w:val="24"/>
        </w:rPr>
        <w:t>Nomura</w:t>
      </w:r>
      <w:proofErr w:type="spellEnd"/>
      <w:r w:rsidRPr="009075A8">
        <w:rPr>
          <w:rFonts w:ascii="Arial" w:hAnsi="Arial" w:cs="Arial"/>
          <w:sz w:val="24"/>
        </w:rPr>
        <w:t xml:space="preserve">; </w:t>
      </w:r>
    </w:p>
    <w:p w:rsidR="00B93474" w:rsidRDefault="00B93474" w:rsidP="009075A8">
      <w:pPr>
        <w:pStyle w:val="Paragrafoelenco"/>
        <w:numPr>
          <w:ilvl w:val="0"/>
          <w:numId w:val="33"/>
        </w:numPr>
        <w:spacing w:line="360" w:lineRule="auto"/>
        <w:jc w:val="both"/>
        <w:rPr>
          <w:rFonts w:ascii="Arial" w:hAnsi="Arial" w:cs="Arial"/>
          <w:sz w:val="24"/>
        </w:rPr>
      </w:pPr>
      <w:r w:rsidRPr="009075A8">
        <w:rPr>
          <w:rFonts w:ascii="Arial" w:hAnsi="Arial" w:cs="Arial"/>
          <w:sz w:val="24"/>
        </w:rPr>
        <w:t xml:space="preserve">tale circostanza era nota al </w:t>
      </w:r>
      <w:r w:rsidRPr="009075A8">
        <w:rPr>
          <w:rFonts w:ascii="Arial" w:hAnsi="Arial" w:cs="Arial"/>
          <w:i/>
          <w:sz w:val="24"/>
        </w:rPr>
        <w:t>pro tempore management</w:t>
      </w:r>
      <w:r w:rsidRPr="009075A8">
        <w:rPr>
          <w:rFonts w:ascii="Arial" w:hAnsi="Arial" w:cs="Arial"/>
          <w:sz w:val="24"/>
        </w:rPr>
        <w:t xml:space="preserve"> di BMPS</w:t>
      </w:r>
      <w:r w:rsidR="00B8302B">
        <w:rPr>
          <w:rFonts w:ascii="Arial" w:hAnsi="Arial" w:cs="Arial"/>
          <w:sz w:val="24"/>
        </w:rPr>
        <w:t>; e</w:t>
      </w:r>
    </w:p>
    <w:p w:rsidR="00B8302B" w:rsidRPr="009075A8" w:rsidRDefault="00B8302B" w:rsidP="009075A8">
      <w:pPr>
        <w:pStyle w:val="Paragrafoelenco"/>
        <w:numPr>
          <w:ilvl w:val="0"/>
          <w:numId w:val="33"/>
        </w:numPr>
        <w:spacing w:line="360" w:lineRule="auto"/>
        <w:jc w:val="both"/>
        <w:rPr>
          <w:rFonts w:ascii="Arial" w:hAnsi="Arial" w:cs="Arial"/>
          <w:sz w:val="24"/>
        </w:rPr>
      </w:pPr>
      <w:r>
        <w:rPr>
          <w:rFonts w:ascii="Arial" w:hAnsi="Arial" w:cs="Arial"/>
          <w:sz w:val="24"/>
        </w:rPr>
        <w:t>tal</w:t>
      </w:r>
      <w:r w:rsidR="00BD3786">
        <w:rPr>
          <w:rFonts w:ascii="Arial" w:hAnsi="Arial" w:cs="Arial"/>
          <w:sz w:val="24"/>
        </w:rPr>
        <w:t>i</w:t>
      </w:r>
      <w:r>
        <w:rPr>
          <w:rFonts w:ascii="Arial" w:hAnsi="Arial" w:cs="Arial"/>
          <w:sz w:val="24"/>
        </w:rPr>
        <w:t xml:space="preserve"> modalità di</w:t>
      </w:r>
      <w:r w:rsidR="00BD3786">
        <w:rPr>
          <w:rFonts w:ascii="Arial" w:hAnsi="Arial" w:cs="Arial"/>
          <w:sz w:val="24"/>
        </w:rPr>
        <w:t xml:space="preserve"> esecuzione</w:t>
      </w:r>
      <w:r>
        <w:rPr>
          <w:rFonts w:ascii="Arial" w:hAnsi="Arial" w:cs="Arial"/>
          <w:sz w:val="24"/>
        </w:rPr>
        <w:t xml:space="preserve"> </w:t>
      </w:r>
      <w:r w:rsidR="00BD3786">
        <w:rPr>
          <w:rFonts w:ascii="Arial" w:hAnsi="Arial" w:cs="Arial"/>
          <w:sz w:val="24"/>
        </w:rPr>
        <w:t>del</w:t>
      </w:r>
      <w:r>
        <w:rPr>
          <w:rFonts w:ascii="Arial" w:hAnsi="Arial" w:cs="Arial"/>
          <w:sz w:val="24"/>
        </w:rPr>
        <w:t>l’operazione erano state</w:t>
      </w:r>
      <w:r w:rsidR="006735EC">
        <w:rPr>
          <w:rFonts w:ascii="Arial" w:hAnsi="Arial" w:cs="Arial"/>
          <w:sz w:val="24"/>
        </w:rPr>
        <w:t xml:space="preserve"> “preordinatamente”</w:t>
      </w:r>
      <w:r>
        <w:rPr>
          <w:rFonts w:ascii="Arial" w:hAnsi="Arial" w:cs="Arial"/>
          <w:sz w:val="24"/>
        </w:rPr>
        <w:t xml:space="preserve"> condivise dal </w:t>
      </w:r>
      <w:r w:rsidRPr="0076328A">
        <w:rPr>
          <w:rFonts w:ascii="Arial" w:hAnsi="Arial" w:cs="Arial"/>
          <w:i/>
          <w:sz w:val="24"/>
        </w:rPr>
        <w:t>pro tempore management</w:t>
      </w:r>
      <w:r>
        <w:rPr>
          <w:rFonts w:ascii="Arial" w:hAnsi="Arial" w:cs="Arial"/>
          <w:sz w:val="24"/>
        </w:rPr>
        <w:t xml:space="preserve"> di BMPS</w:t>
      </w:r>
      <w:r w:rsidR="006735EC">
        <w:rPr>
          <w:rFonts w:ascii="Arial" w:hAnsi="Arial" w:cs="Arial"/>
          <w:sz w:val="24"/>
        </w:rPr>
        <w:t>.</w:t>
      </w:r>
      <w:r>
        <w:rPr>
          <w:rFonts w:ascii="Arial" w:hAnsi="Arial" w:cs="Arial"/>
          <w:sz w:val="24"/>
        </w:rPr>
        <w:t xml:space="preserve"> </w:t>
      </w:r>
    </w:p>
    <w:p w:rsidR="00B93474" w:rsidRDefault="00B93474" w:rsidP="008F09FA">
      <w:pPr>
        <w:spacing w:line="360" w:lineRule="auto"/>
        <w:jc w:val="both"/>
        <w:rPr>
          <w:rFonts w:ascii="Arial" w:hAnsi="Arial" w:cs="Arial"/>
        </w:rPr>
      </w:pPr>
      <w:r>
        <w:rPr>
          <w:rFonts w:ascii="Arial" w:hAnsi="Arial" w:cs="Arial"/>
        </w:rPr>
        <w:t>A parere dell’Autorità, t</w:t>
      </w:r>
      <w:r w:rsidRPr="008F09FA">
        <w:rPr>
          <w:rFonts w:ascii="Arial" w:hAnsi="Arial" w:cs="Arial"/>
        </w:rPr>
        <w:t>utto ciò</w:t>
      </w:r>
      <w:r>
        <w:rPr>
          <w:rFonts w:ascii="Arial" w:hAnsi="Arial" w:cs="Arial"/>
        </w:rPr>
        <w:t xml:space="preserve"> fa </w:t>
      </w:r>
      <w:r w:rsidRPr="008F09FA">
        <w:rPr>
          <w:rFonts w:ascii="Arial" w:hAnsi="Arial" w:cs="Arial"/>
        </w:rPr>
        <w:t xml:space="preserve">venire meno la veridicità del </w:t>
      </w:r>
      <w:proofErr w:type="spellStart"/>
      <w:r w:rsidRPr="009075A8">
        <w:rPr>
          <w:rFonts w:ascii="Arial" w:hAnsi="Arial" w:cs="Arial"/>
          <w:i/>
        </w:rPr>
        <w:t>substantive</w:t>
      </w:r>
      <w:proofErr w:type="spellEnd"/>
      <w:r w:rsidRPr="009075A8">
        <w:rPr>
          <w:rFonts w:ascii="Arial" w:hAnsi="Arial" w:cs="Arial"/>
          <w:i/>
        </w:rPr>
        <w:t xml:space="preserve"> business </w:t>
      </w:r>
      <w:proofErr w:type="spellStart"/>
      <w:r w:rsidRPr="009075A8">
        <w:rPr>
          <w:rFonts w:ascii="Arial" w:hAnsi="Arial" w:cs="Arial"/>
          <w:i/>
        </w:rPr>
        <w:t>purpose</w:t>
      </w:r>
      <w:proofErr w:type="spellEnd"/>
      <w:r>
        <w:rPr>
          <w:rFonts w:ascii="Arial" w:hAnsi="Arial" w:cs="Arial"/>
        </w:rPr>
        <w:t xml:space="preserve"> sinora dichiarato dalla Banca e fa ritenere </w:t>
      </w:r>
      <w:r w:rsidRPr="008F09FA">
        <w:rPr>
          <w:rFonts w:ascii="Arial" w:hAnsi="Arial" w:cs="Arial"/>
        </w:rPr>
        <w:t>che non sussist</w:t>
      </w:r>
      <w:r>
        <w:rPr>
          <w:rFonts w:ascii="Arial" w:hAnsi="Arial" w:cs="Arial"/>
        </w:rPr>
        <w:t>a</w:t>
      </w:r>
      <w:r w:rsidRPr="008F09FA">
        <w:rPr>
          <w:rFonts w:ascii="Arial" w:hAnsi="Arial" w:cs="Arial"/>
        </w:rPr>
        <w:t>no le condizioni per</w:t>
      </w:r>
      <w:r>
        <w:rPr>
          <w:rFonts w:ascii="Arial" w:hAnsi="Arial" w:cs="Arial"/>
        </w:rPr>
        <w:t xml:space="preserve"> </w:t>
      </w:r>
      <w:r w:rsidRPr="008F09FA">
        <w:rPr>
          <w:rFonts w:ascii="Arial" w:hAnsi="Arial" w:cs="Arial"/>
        </w:rPr>
        <w:t xml:space="preserve">procedere ad una contabilizzazione </w:t>
      </w:r>
      <w:r>
        <w:rPr>
          <w:rFonts w:ascii="Arial" w:hAnsi="Arial" w:cs="Arial"/>
        </w:rPr>
        <w:t>“</w:t>
      </w:r>
      <w:r w:rsidRPr="008F09FA">
        <w:rPr>
          <w:rFonts w:ascii="Arial" w:hAnsi="Arial" w:cs="Arial"/>
        </w:rPr>
        <w:t>a saldi aperti</w:t>
      </w:r>
      <w:r>
        <w:rPr>
          <w:rFonts w:ascii="Arial" w:hAnsi="Arial" w:cs="Arial"/>
        </w:rPr>
        <w:t>”</w:t>
      </w:r>
      <w:r w:rsidRPr="008F09FA">
        <w:rPr>
          <w:rFonts w:ascii="Arial" w:hAnsi="Arial" w:cs="Arial"/>
        </w:rPr>
        <w:t>.</w:t>
      </w:r>
    </w:p>
    <w:p w:rsidR="00B93474" w:rsidRDefault="00B93474" w:rsidP="008F09FA">
      <w:pPr>
        <w:spacing w:line="360" w:lineRule="auto"/>
        <w:jc w:val="both"/>
        <w:rPr>
          <w:rFonts w:ascii="Arial" w:hAnsi="Arial" w:cs="Arial"/>
        </w:rPr>
      </w:pPr>
      <w:r>
        <w:rPr>
          <w:rFonts w:ascii="Arial" w:hAnsi="Arial" w:cs="Arial"/>
        </w:rPr>
        <w:t xml:space="preserve">Infatti, sempre a parere della Commissione, le nuove evidenze documentali mostrano un comportamento del </w:t>
      </w:r>
      <w:r w:rsidRPr="007771A9">
        <w:rPr>
          <w:rFonts w:ascii="Arial" w:hAnsi="Arial" w:cs="Arial"/>
          <w:i/>
        </w:rPr>
        <w:t>pro tempore management</w:t>
      </w:r>
      <w:r>
        <w:rPr>
          <w:rFonts w:ascii="Arial" w:hAnsi="Arial" w:cs="Arial"/>
        </w:rPr>
        <w:t xml:space="preserve"> di BMPS e di </w:t>
      </w:r>
      <w:proofErr w:type="spellStart"/>
      <w:r>
        <w:rPr>
          <w:rFonts w:ascii="Arial" w:hAnsi="Arial" w:cs="Arial"/>
        </w:rPr>
        <w:t>Nomura</w:t>
      </w:r>
      <w:proofErr w:type="spellEnd"/>
      <w:r>
        <w:rPr>
          <w:rFonts w:ascii="Arial" w:hAnsi="Arial" w:cs="Arial"/>
        </w:rPr>
        <w:t xml:space="preserve"> preordinato a fornire ai terzi una rappresentazione della transazione come un’operazione di </w:t>
      </w:r>
      <w:proofErr w:type="spellStart"/>
      <w:r w:rsidRPr="007771A9">
        <w:rPr>
          <w:rFonts w:ascii="Arial" w:hAnsi="Arial" w:cs="Arial"/>
          <w:i/>
        </w:rPr>
        <w:t>structured</w:t>
      </w:r>
      <w:proofErr w:type="spellEnd"/>
      <w:r w:rsidRPr="007771A9">
        <w:rPr>
          <w:rFonts w:ascii="Arial" w:hAnsi="Arial" w:cs="Arial"/>
          <w:i/>
        </w:rPr>
        <w:t xml:space="preserve"> </w:t>
      </w:r>
      <w:proofErr w:type="spellStart"/>
      <w:r w:rsidRPr="007771A9">
        <w:rPr>
          <w:rFonts w:ascii="Arial" w:hAnsi="Arial" w:cs="Arial"/>
          <w:i/>
        </w:rPr>
        <w:t>repo</w:t>
      </w:r>
      <w:proofErr w:type="spellEnd"/>
      <w:r>
        <w:rPr>
          <w:rFonts w:ascii="Arial" w:hAnsi="Arial" w:cs="Arial"/>
        </w:rPr>
        <w:t xml:space="preserve">, </w:t>
      </w:r>
      <w:r>
        <w:rPr>
          <w:rFonts w:ascii="Arial" w:hAnsi="Arial" w:cs="Arial"/>
        </w:rPr>
        <w:lastRenderedPageBreak/>
        <w:t xml:space="preserve">tesa ad acquisire una posizione lunga sui titoli di Stato, mentre in realtà ciò che le parti avevano negoziato era esclusivamente lo scambio di flussi che replicano il </w:t>
      </w:r>
      <w:proofErr w:type="spellStart"/>
      <w:r w:rsidRPr="007771A9">
        <w:rPr>
          <w:rFonts w:ascii="Arial" w:hAnsi="Arial" w:cs="Arial"/>
          <w:i/>
        </w:rPr>
        <w:t>pay</w:t>
      </w:r>
      <w:proofErr w:type="spellEnd"/>
      <w:r w:rsidRPr="007771A9">
        <w:rPr>
          <w:rFonts w:ascii="Arial" w:hAnsi="Arial" w:cs="Arial"/>
          <w:i/>
        </w:rPr>
        <w:t xml:space="preserve"> off</w:t>
      </w:r>
      <w:r>
        <w:rPr>
          <w:rFonts w:ascii="Arial" w:hAnsi="Arial" w:cs="Arial"/>
        </w:rPr>
        <w:t xml:space="preserve"> di un derivato creditizio sulla Repubblica Italiana.</w:t>
      </w:r>
    </w:p>
    <w:p w:rsidR="00B93474" w:rsidRDefault="00B93474" w:rsidP="007771A9">
      <w:pPr>
        <w:spacing w:line="360" w:lineRule="auto"/>
        <w:jc w:val="both"/>
        <w:rPr>
          <w:rFonts w:ascii="Arial" w:hAnsi="Arial" w:cs="Arial"/>
        </w:rPr>
      </w:pPr>
      <w:r>
        <w:rPr>
          <w:rFonts w:ascii="Arial" w:hAnsi="Arial" w:cs="Arial"/>
        </w:rPr>
        <w:t>Di fatto, con l’operazione BMPS avrebbe assunto solo un’esposizione al rischio di credito della Repubblica Italiana e non una posizione in titoli di Stato.</w:t>
      </w:r>
    </w:p>
    <w:p w:rsidR="00B93474" w:rsidRPr="000739FA" w:rsidRDefault="00B93474" w:rsidP="007771A9">
      <w:pPr>
        <w:spacing w:line="360" w:lineRule="auto"/>
        <w:jc w:val="both"/>
        <w:rPr>
          <w:rFonts w:ascii="Arial" w:hAnsi="Arial" w:cs="Arial"/>
        </w:rPr>
      </w:pPr>
    </w:p>
    <w:p w:rsidR="00B93474" w:rsidRPr="00D32901" w:rsidRDefault="00B93474">
      <w:pPr>
        <w:pStyle w:val="Paragrafoelenco"/>
        <w:numPr>
          <w:ilvl w:val="0"/>
          <w:numId w:val="24"/>
        </w:numPr>
        <w:spacing w:line="360" w:lineRule="auto"/>
        <w:jc w:val="both"/>
        <w:rPr>
          <w:rFonts w:ascii="Arial" w:hAnsi="Arial" w:cs="Arial"/>
          <w:b/>
          <w:sz w:val="24"/>
        </w:rPr>
      </w:pPr>
      <w:r w:rsidRPr="00D32901">
        <w:rPr>
          <w:rFonts w:ascii="Arial" w:hAnsi="Arial" w:cs="Arial"/>
          <w:b/>
          <w:sz w:val="24"/>
        </w:rPr>
        <w:t>C</w:t>
      </w:r>
      <w:r w:rsidR="00DC4298" w:rsidRPr="00D32901">
        <w:rPr>
          <w:rFonts w:ascii="Arial" w:hAnsi="Arial" w:cs="Arial"/>
          <w:b/>
          <w:sz w:val="24"/>
        </w:rPr>
        <w:t>ONSIDERAZIONI IN MERITO ALLE DEDUZIONI PRESENTATE DALLA BANCA</w:t>
      </w:r>
    </w:p>
    <w:p w:rsidR="00B93474" w:rsidRDefault="00B93474" w:rsidP="008F09FA">
      <w:pPr>
        <w:spacing w:line="360" w:lineRule="auto"/>
        <w:jc w:val="both"/>
        <w:rPr>
          <w:rFonts w:ascii="Arial" w:hAnsi="Arial" w:cs="Arial"/>
        </w:rPr>
      </w:pPr>
      <w:r>
        <w:rPr>
          <w:rFonts w:ascii="Arial" w:hAnsi="Arial" w:cs="Arial"/>
        </w:rPr>
        <w:t>A parere dell’Autorità, le criticità rilevate non possono ritenersi superate dalle deduzioni formulate dalla Banca con note del 6 agosto, 21 settembre, 2 ottobre e</w:t>
      </w:r>
      <w:r w:rsidRPr="0073015E">
        <w:rPr>
          <w:rFonts w:ascii="Arial" w:hAnsi="Arial" w:cs="Arial"/>
        </w:rPr>
        <w:t xml:space="preserve"> </w:t>
      </w:r>
      <w:r>
        <w:rPr>
          <w:rFonts w:ascii="Arial" w:hAnsi="Arial" w:cs="Arial"/>
        </w:rPr>
        <w:t>9 novembre</w:t>
      </w:r>
      <w:r w:rsidRPr="0073015E">
        <w:rPr>
          <w:rFonts w:ascii="Arial" w:hAnsi="Arial" w:cs="Arial"/>
        </w:rPr>
        <w:t xml:space="preserve"> 201</w:t>
      </w:r>
      <w:r>
        <w:rPr>
          <w:rFonts w:ascii="Arial" w:hAnsi="Arial" w:cs="Arial"/>
        </w:rPr>
        <w:t>5</w:t>
      </w:r>
      <w:r w:rsidR="006735EC">
        <w:rPr>
          <w:rFonts w:ascii="Arial" w:hAnsi="Arial" w:cs="Arial"/>
        </w:rPr>
        <w:t xml:space="preserve"> </w:t>
      </w:r>
      <w:r>
        <w:rPr>
          <w:rFonts w:ascii="Arial" w:hAnsi="Arial" w:cs="Arial"/>
        </w:rPr>
        <w:t xml:space="preserve">. Ciò in quanto tali deduzioni risultano confutate dagli elementi forniti dalla Procura della Repubblica di Milano negli scorsi mesi di aprile, giugno e luglio e, in particolare, dai verbali delle informazioni assunte dai pubblici ministeri ai sensi dell’art.362 c.p.p. e dallo scambio delle e-mail agli atti delle indagini tra dipendenti di BMPS e </w:t>
      </w:r>
      <w:proofErr w:type="spellStart"/>
      <w:r>
        <w:rPr>
          <w:rFonts w:ascii="Arial" w:hAnsi="Arial" w:cs="Arial"/>
        </w:rPr>
        <w:t>Nomura</w:t>
      </w:r>
      <w:proofErr w:type="spellEnd"/>
      <w:r>
        <w:rPr>
          <w:rFonts w:ascii="Arial" w:hAnsi="Arial" w:cs="Arial"/>
        </w:rPr>
        <w:t xml:space="preserve">. Come già detto, secondo la </w:t>
      </w:r>
      <w:proofErr w:type="spellStart"/>
      <w:r w:rsidR="00E15C25">
        <w:rPr>
          <w:rFonts w:ascii="Arial" w:hAnsi="Arial" w:cs="Arial"/>
        </w:rPr>
        <w:t>Consob</w:t>
      </w:r>
      <w:proofErr w:type="spellEnd"/>
      <w:r>
        <w:rPr>
          <w:rFonts w:ascii="Arial" w:hAnsi="Arial" w:cs="Arial"/>
        </w:rPr>
        <w:t xml:space="preserve">, la documentazione trasmessa dalla Procura di Milano rappresenta un elemento di novità </w:t>
      </w:r>
      <w:r w:rsidR="006735EC">
        <w:rPr>
          <w:rFonts w:ascii="Arial" w:hAnsi="Arial" w:cs="Arial"/>
        </w:rPr>
        <w:t xml:space="preserve">assai </w:t>
      </w:r>
      <w:r>
        <w:rPr>
          <w:rFonts w:ascii="Arial" w:hAnsi="Arial" w:cs="Arial"/>
        </w:rPr>
        <w:t xml:space="preserve">rilevante che comporta una rilettura dell’intero quadro informativo concernente i contratti stipulati e porta ad una diversa valutazione della sussistenza degli indicatori previsti dai principi contabili di riferimento per procedere alla registrazione “a saldi aperti” delle diverse transazioni. Infatti, il mancato acquisto dei BTP 2034 da parte di </w:t>
      </w:r>
      <w:proofErr w:type="spellStart"/>
      <w:r>
        <w:rPr>
          <w:rFonts w:ascii="Arial" w:hAnsi="Arial" w:cs="Arial"/>
        </w:rPr>
        <w:t>Nomura</w:t>
      </w:r>
      <w:proofErr w:type="spellEnd"/>
      <w:r>
        <w:rPr>
          <w:rFonts w:ascii="Arial" w:hAnsi="Arial" w:cs="Arial"/>
        </w:rPr>
        <w:t xml:space="preserve">, con il consenso e secondo le indicazioni del </w:t>
      </w:r>
      <w:r w:rsidRPr="007771A9">
        <w:rPr>
          <w:rFonts w:ascii="Arial" w:hAnsi="Arial" w:cs="Arial"/>
          <w:i/>
        </w:rPr>
        <w:t>pro tempore management</w:t>
      </w:r>
      <w:r>
        <w:rPr>
          <w:rFonts w:ascii="Arial" w:hAnsi="Arial" w:cs="Arial"/>
        </w:rPr>
        <w:t xml:space="preserve"> di BMPS, è, a parere della Commissione, un elemento rilevante ai fini delle valutazioni del “</w:t>
      </w:r>
      <w:proofErr w:type="spellStart"/>
      <w:r w:rsidRPr="007771A9">
        <w:rPr>
          <w:rFonts w:ascii="Arial" w:hAnsi="Arial" w:cs="Arial"/>
          <w:i/>
        </w:rPr>
        <w:t>substantive</w:t>
      </w:r>
      <w:proofErr w:type="spellEnd"/>
      <w:r w:rsidRPr="007771A9">
        <w:rPr>
          <w:rFonts w:ascii="Arial" w:hAnsi="Arial" w:cs="Arial"/>
          <w:i/>
        </w:rPr>
        <w:t xml:space="preserve"> business </w:t>
      </w:r>
      <w:proofErr w:type="spellStart"/>
      <w:r w:rsidRPr="007771A9">
        <w:rPr>
          <w:rFonts w:ascii="Arial" w:hAnsi="Arial" w:cs="Arial"/>
          <w:i/>
        </w:rPr>
        <w:t>purpose</w:t>
      </w:r>
      <w:proofErr w:type="spellEnd"/>
      <w:r>
        <w:rPr>
          <w:rFonts w:ascii="Arial" w:hAnsi="Arial" w:cs="Arial"/>
        </w:rPr>
        <w:t>” delle transazioni rappresentato dalla Banca sulla base degli elementi preesistenti. In particolare, sulla base dell</w:t>
      </w:r>
      <w:r w:rsidR="006735EC">
        <w:rPr>
          <w:rFonts w:ascii="Arial" w:hAnsi="Arial" w:cs="Arial"/>
        </w:rPr>
        <w:t>’interpretazione che CONSOB fa propria delle</w:t>
      </w:r>
      <w:r>
        <w:rPr>
          <w:rFonts w:ascii="Arial" w:hAnsi="Arial" w:cs="Arial"/>
        </w:rPr>
        <w:t xml:space="preserve"> nuove evidenze emerse </w:t>
      </w:r>
      <w:proofErr w:type="spellStart"/>
      <w:r>
        <w:rPr>
          <w:rFonts w:ascii="Arial" w:hAnsi="Arial" w:cs="Arial"/>
        </w:rPr>
        <w:t>il“</w:t>
      </w:r>
      <w:r w:rsidRPr="00AA7726">
        <w:rPr>
          <w:rFonts w:ascii="Arial" w:hAnsi="Arial" w:cs="Arial"/>
          <w:i/>
        </w:rPr>
        <w:t>substantive</w:t>
      </w:r>
      <w:proofErr w:type="spellEnd"/>
      <w:r w:rsidRPr="00AA7726">
        <w:rPr>
          <w:rFonts w:ascii="Arial" w:hAnsi="Arial" w:cs="Arial"/>
          <w:i/>
        </w:rPr>
        <w:t xml:space="preserve"> business </w:t>
      </w:r>
      <w:proofErr w:type="spellStart"/>
      <w:r w:rsidRPr="00AA7726">
        <w:rPr>
          <w:rFonts w:ascii="Arial" w:hAnsi="Arial" w:cs="Arial"/>
          <w:i/>
        </w:rPr>
        <w:t>purpose</w:t>
      </w:r>
      <w:proofErr w:type="spellEnd"/>
      <w:r>
        <w:rPr>
          <w:rFonts w:ascii="Arial" w:hAnsi="Arial" w:cs="Arial"/>
        </w:rPr>
        <w:t xml:space="preserve">” dichiarato dalla Banca viene meno in quanto il comportamento del </w:t>
      </w:r>
      <w:r w:rsidRPr="00AA7726">
        <w:rPr>
          <w:rFonts w:ascii="Arial" w:hAnsi="Arial" w:cs="Arial"/>
          <w:i/>
        </w:rPr>
        <w:t>pro tempore management</w:t>
      </w:r>
      <w:r>
        <w:rPr>
          <w:rFonts w:ascii="Arial" w:hAnsi="Arial" w:cs="Arial"/>
        </w:rPr>
        <w:t xml:space="preserve"> di BMPS e di </w:t>
      </w:r>
      <w:proofErr w:type="spellStart"/>
      <w:r>
        <w:rPr>
          <w:rFonts w:ascii="Arial" w:hAnsi="Arial" w:cs="Arial"/>
        </w:rPr>
        <w:t>Nomura</w:t>
      </w:r>
      <w:proofErr w:type="spellEnd"/>
      <w:r>
        <w:rPr>
          <w:rFonts w:ascii="Arial" w:hAnsi="Arial" w:cs="Arial"/>
        </w:rPr>
        <w:t xml:space="preserve"> era preordinato a fornire a terzi una rappresentazione della transazione come un’operazione di </w:t>
      </w:r>
      <w:r w:rsidRPr="007771A9">
        <w:rPr>
          <w:rFonts w:ascii="Arial" w:hAnsi="Arial" w:cs="Arial"/>
          <w:i/>
        </w:rPr>
        <w:t xml:space="preserve">long </w:t>
      </w:r>
      <w:proofErr w:type="spellStart"/>
      <w:r w:rsidRPr="007771A9">
        <w:rPr>
          <w:rFonts w:ascii="Arial" w:hAnsi="Arial" w:cs="Arial"/>
          <w:i/>
        </w:rPr>
        <w:t>term</w:t>
      </w:r>
      <w:proofErr w:type="spellEnd"/>
      <w:r w:rsidRPr="007771A9">
        <w:rPr>
          <w:rFonts w:ascii="Arial" w:hAnsi="Arial" w:cs="Arial"/>
          <w:i/>
        </w:rPr>
        <w:t xml:space="preserve"> </w:t>
      </w:r>
      <w:proofErr w:type="spellStart"/>
      <w:r w:rsidRPr="007771A9">
        <w:rPr>
          <w:rFonts w:ascii="Arial" w:hAnsi="Arial" w:cs="Arial"/>
          <w:i/>
        </w:rPr>
        <w:t>repo</w:t>
      </w:r>
      <w:proofErr w:type="spellEnd"/>
      <w:r>
        <w:rPr>
          <w:rFonts w:ascii="Arial" w:hAnsi="Arial" w:cs="Arial"/>
        </w:rPr>
        <w:t xml:space="preserve"> tesa ad acquistare una posizione in titoli di Stato mentre in realtà ciò che le parti avevano negoziato era esclusivamente lo scambio di flussi che replicavano un derivato creditizio della Repubblica Italiana.</w:t>
      </w:r>
    </w:p>
    <w:p w:rsidR="00B93474" w:rsidRDefault="00B93474" w:rsidP="00AA52F9">
      <w:pPr>
        <w:spacing w:line="360" w:lineRule="auto"/>
        <w:jc w:val="both"/>
        <w:rPr>
          <w:rFonts w:ascii="Arial" w:hAnsi="Arial" w:cs="Arial"/>
        </w:rPr>
      </w:pPr>
      <w:r>
        <w:rPr>
          <w:rFonts w:ascii="Arial" w:hAnsi="Arial" w:cs="Arial"/>
        </w:rPr>
        <w:t>La Commissione conclude affermando che:</w:t>
      </w:r>
    </w:p>
    <w:p w:rsidR="00B93474" w:rsidRPr="007771A9" w:rsidRDefault="00B93474" w:rsidP="007771A9">
      <w:pPr>
        <w:pStyle w:val="Paragrafoelenco"/>
        <w:numPr>
          <w:ilvl w:val="0"/>
          <w:numId w:val="41"/>
        </w:numPr>
        <w:spacing w:line="360" w:lineRule="auto"/>
        <w:jc w:val="both"/>
        <w:rPr>
          <w:rFonts w:ascii="Arial" w:hAnsi="Arial" w:cs="Arial"/>
          <w:sz w:val="24"/>
          <w:szCs w:val="24"/>
        </w:rPr>
      </w:pPr>
      <w:r w:rsidRPr="007771A9">
        <w:rPr>
          <w:rFonts w:ascii="Arial" w:hAnsi="Arial" w:cs="Arial"/>
          <w:sz w:val="24"/>
          <w:szCs w:val="24"/>
        </w:rPr>
        <w:t xml:space="preserve">poiché il </w:t>
      </w:r>
      <w:r w:rsidRPr="007771A9">
        <w:rPr>
          <w:rFonts w:ascii="Arial" w:hAnsi="Arial" w:cs="Arial"/>
          <w:i/>
          <w:sz w:val="24"/>
          <w:szCs w:val="24"/>
        </w:rPr>
        <w:t xml:space="preserve">business </w:t>
      </w:r>
      <w:proofErr w:type="spellStart"/>
      <w:r w:rsidRPr="007771A9">
        <w:rPr>
          <w:rFonts w:ascii="Arial" w:hAnsi="Arial" w:cs="Arial"/>
          <w:i/>
          <w:sz w:val="24"/>
          <w:szCs w:val="24"/>
        </w:rPr>
        <w:t>purpose</w:t>
      </w:r>
      <w:proofErr w:type="spellEnd"/>
      <w:r w:rsidRPr="007771A9">
        <w:rPr>
          <w:rFonts w:ascii="Arial" w:hAnsi="Arial" w:cs="Arial"/>
          <w:sz w:val="24"/>
          <w:szCs w:val="24"/>
        </w:rPr>
        <w:t xml:space="preserve"> è il primo aspetto da considerare ed è antecedente a tutte le considerazioni contabili;</w:t>
      </w:r>
    </w:p>
    <w:p w:rsidR="00B93474" w:rsidRPr="007771A9" w:rsidRDefault="00B93474" w:rsidP="007771A9">
      <w:pPr>
        <w:pStyle w:val="Paragrafoelenco"/>
        <w:numPr>
          <w:ilvl w:val="0"/>
          <w:numId w:val="41"/>
        </w:numPr>
        <w:spacing w:line="360" w:lineRule="auto"/>
        <w:jc w:val="both"/>
        <w:rPr>
          <w:rFonts w:ascii="Arial" w:hAnsi="Arial" w:cs="Arial"/>
          <w:sz w:val="24"/>
          <w:szCs w:val="24"/>
        </w:rPr>
      </w:pPr>
      <w:r w:rsidRPr="007771A9">
        <w:rPr>
          <w:rFonts w:ascii="Arial" w:hAnsi="Arial" w:cs="Arial"/>
          <w:sz w:val="24"/>
          <w:szCs w:val="24"/>
        </w:rPr>
        <w:lastRenderedPageBreak/>
        <w:t>in presenza di analoghi flussi di cassa, la discriminante tra la contabilizzazione “a saldi aperti” e quella “a saldi chiusi” è proprio la volontà negoziale di acquistare i diritti dello strumento finanziario e la conseguente esposizione ai rischi e ai benefici dello stesso;</w:t>
      </w:r>
    </w:p>
    <w:p w:rsidR="00B93474" w:rsidRPr="007771A9" w:rsidRDefault="00B93474" w:rsidP="007771A9">
      <w:pPr>
        <w:pStyle w:val="Paragrafoelenco"/>
        <w:numPr>
          <w:ilvl w:val="0"/>
          <w:numId w:val="41"/>
        </w:numPr>
        <w:spacing w:line="360" w:lineRule="auto"/>
        <w:jc w:val="both"/>
        <w:rPr>
          <w:rFonts w:ascii="Arial" w:hAnsi="Arial" w:cs="Arial"/>
          <w:sz w:val="24"/>
          <w:szCs w:val="24"/>
        </w:rPr>
      </w:pPr>
      <w:r w:rsidRPr="007771A9">
        <w:rPr>
          <w:rFonts w:ascii="Arial" w:hAnsi="Arial" w:cs="Arial"/>
          <w:sz w:val="24"/>
          <w:szCs w:val="24"/>
        </w:rPr>
        <w:t>poiché dalle analisi effettuate ritiene che la volontà negoziale rappresentata dalla Banca sulla base degli elementi preesistenti non può essere ritenuta aderente alla natura degli effettivi accordi negoziali intercorsi tra le parti,</w:t>
      </w:r>
    </w:p>
    <w:p w:rsidR="00B93474" w:rsidRDefault="00B93474" w:rsidP="008F09FA">
      <w:pPr>
        <w:spacing w:line="360" w:lineRule="auto"/>
        <w:jc w:val="both"/>
        <w:rPr>
          <w:rFonts w:ascii="Arial" w:hAnsi="Arial" w:cs="Arial"/>
        </w:rPr>
      </w:pPr>
      <w:r>
        <w:rPr>
          <w:rFonts w:ascii="Arial" w:hAnsi="Arial" w:cs="Arial"/>
        </w:rPr>
        <w:t xml:space="preserve">la corretta modalità di rappresentazione dell’operazione di </w:t>
      </w:r>
      <w:r w:rsidRPr="00DC4298">
        <w:rPr>
          <w:rFonts w:ascii="Arial" w:hAnsi="Arial" w:cs="Arial"/>
          <w:i/>
        </w:rPr>
        <w:t xml:space="preserve">long </w:t>
      </w:r>
      <w:proofErr w:type="spellStart"/>
      <w:r w:rsidRPr="00DC4298">
        <w:rPr>
          <w:rFonts w:ascii="Arial" w:hAnsi="Arial" w:cs="Arial"/>
          <w:i/>
        </w:rPr>
        <w:t>term</w:t>
      </w:r>
      <w:proofErr w:type="spellEnd"/>
      <w:r w:rsidRPr="00DC4298">
        <w:rPr>
          <w:rFonts w:ascii="Arial" w:hAnsi="Arial" w:cs="Arial"/>
          <w:i/>
        </w:rPr>
        <w:t xml:space="preserve"> </w:t>
      </w:r>
      <w:proofErr w:type="spellStart"/>
      <w:r w:rsidRPr="00DC4298">
        <w:rPr>
          <w:rFonts w:ascii="Arial" w:hAnsi="Arial" w:cs="Arial"/>
          <w:i/>
        </w:rPr>
        <w:t>repo</w:t>
      </w:r>
      <w:proofErr w:type="spellEnd"/>
      <w:r>
        <w:rPr>
          <w:rFonts w:ascii="Arial" w:hAnsi="Arial" w:cs="Arial"/>
        </w:rPr>
        <w:t xml:space="preserve"> posta in essere tra BMPS e </w:t>
      </w:r>
      <w:proofErr w:type="spellStart"/>
      <w:r>
        <w:rPr>
          <w:rFonts w:ascii="Arial" w:hAnsi="Arial" w:cs="Arial"/>
        </w:rPr>
        <w:t>Nomura</w:t>
      </w:r>
      <w:proofErr w:type="spellEnd"/>
      <w:r>
        <w:rPr>
          <w:rFonts w:ascii="Arial" w:hAnsi="Arial" w:cs="Arial"/>
        </w:rPr>
        <w:t xml:space="preserve"> è la contabilizzazione “a saldi chiusi” e cioè l’iscrizione di un derivato creditizio in conformità alla definizione data dal </w:t>
      </w:r>
      <w:r w:rsidRPr="008F09FA">
        <w:rPr>
          <w:rFonts w:ascii="Arial" w:hAnsi="Arial" w:cs="Arial"/>
        </w:rPr>
        <w:t>paragrafo 9 dello IAS 39</w:t>
      </w:r>
      <w:r>
        <w:rPr>
          <w:rFonts w:ascii="Arial" w:hAnsi="Arial" w:cs="Arial"/>
        </w:rPr>
        <w:t>.</w:t>
      </w:r>
    </w:p>
    <w:p w:rsidR="00B93474" w:rsidRDefault="00B93474" w:rsidP="008F09FA">
      <w:pPr>
        <w:spacing w:line="360" w:lineRule="auto"/>
        <w:jc w:val="both"/>
        <w:rPr>
          <w:rFonts w:ascii="Arial" w:hAnsi="Arial" w:cs="Arial"/>
        </w:rPr>
      </w:pPr>
    </w:p>
    <w:p w:rsidR="00B93474" w:rsidRPr="00D32901" w:rsidRDefault="00B93474" w:rsidP="004548CF">
      <w:pPr>
        <w:pStyle w:val="Paragrafoelenco"/>
        <w:numPr>
          <w:ilvl w:val="0"/>
          <w:numId w:val="24"/>
        </w:numPr>
        <w:spacing w:line="360" w:lineRule="auto"/>
        <w:jc w:val="both"/>
        <w:rPr>
          <w:rFonts w:ascii="Arial" w:hAnsi="Arial" w:cs="Arial"/>
          <w:b/>
          <w:sz w:val="24"/>
        </w:rPr>
      </w:pPr>
      <w:r w:rsidRPr="00D32901">
        <w:rPr>
          <w:rFonts w:ascii="Arial" w:hAnsi="Arial" w:cs="Arial"/>
          <w:b/>
          <w:sz w:val="24"/>
        </w:rPr>
        <w:t>C</w:t>
      </w:r>
      <w:r w:rsidR="00273A26">
        <w:rPr>
          <w:rFonts w:ascii="Arial" w:hAnsi="Arial" w:cs="Arial"/>
          <w:b/>
          <w:sz w:val="24"/>
        </w:rPr>
        <w:t>ONCLUSIONI DELLA CONSOB</w:t>
      </w:r>
    </w:p>
    <w:p w:rsidR="00B93474" w:rsidRDefault="00B93474" w:rsidP="00EE6185">
      <w:pPr>
        <w:spacing w:line="360" w:lineRule="auto"/>
        <w:jc w:val="both"/>
        <w:rPr>
          <w:rFonts w:ascii="Arial" w:hAnsi="Arial" w:cs="Arial"/>
        </w:rPr>
      </w:pPr>
      <w:r>
        <w:rPr>
          <w:rFonts w:ascii="Arial" w:hAnsi="Arial" w:cs="Arial"/>
        </w:rPr>
        <w:t>Sulla base di tutto quanto finora esposto e, in particolare, “</w:t>
      </w:r>
      <w:r w:rsidRPr="0076328A">
        <w:rPr>
          <w:rFonts w:ascii="Arial" w:hAnsi="Arial" w:cs="Arial"/>
          <w:i/>
        </w:rPr>
        <w:t>tenuto conto che è stato possibile superare i profili di incertezza in ordine al corretto trattamento contabile solo alla luce dei nuovi elementi informativi acquisiti per il tramite della Procura di Milano nel corso del 2015 che hanno consentito di valutare la reale volontà negoziale delle parti</w:t>
      </w:r>
      <w:r>
        <w:rPr>
          <w:rFonts w:ascii="Arial" w:hAnsi="Arial" w:cs="Arial"/>
        </w:rPr>
        <w:t xml:space="preserve">”, la </w:t>
      </w:r>
      <w:proofErr w:type="spellStart"/>
      <w:r w:rsidR="00E15C25">
        <w:rPr>
          <w:rFonts w:ascii="Arial" w:hAnsi="Arial" w:cs="Arial"/>
        </w:rPr>
        <w:t>Consob</w:t>
      </w:r>
      <w:proofErr w:type="spellEnd"/>
      <w:r>
        <w:rPr>
          <w:rFonts w:ascii="Arial" w:hAnsi="Arial" w:cs="Arial"/>
        </w:rPr>
        <w:t xml:space="preserve"> ha deliberato l’accertamento della non conformità:</w:t>
      </w:r>
    </w:p>
    <w:p w:rsidR="00B93474" w:rsidRPr="007771A9" w:rsidRDefault="00B93474" w:rsidP="007771A9">
      <w:pPr>
        <w:pStyle w:val="Paragrafoelenco"/>
        <w:numPr>
          <w:ilvl w:val="0"/>
          <w:numId w:val="43"/>
        </w:numPr>
        <w:spacing w:line="360" w:lineRule="auto"/>
        <w:jc w:val="both"/>
        <w:rPr>
          <w:rFonts w:ascii="Arial" w:hAnsi="Arial" w:cs="Arial"/>
          <w:sz w:val="24"/>
          <w:szCs w:val="24"/>
        </w:rPr>
      </w:pPr>
      <w:r w:rsidRPr="007771A9">
        <w:rPr>
          <w:rFonts w:ascii="Arial" w:hAnsi="Arial" w:cs="Arial"/>
          <w:sz w:val="24"/>
          <w:szCs w:val="24"/>
        </w:rPr>
        <w:t>del bilancio d’esercizio e consolidato al 31 dicembre 2014 ai seguenti principi contabili internazionali:</w:t>
      </w:r>
    </w:p>
    <w:p w:rsidR="00B93474" w:rsidRPr="000F2869" w:rsidRDefault="00B93474" w:rsidP="00EE6185">
      <w:pPr>
        <w:pStyle w:val="Paragrafoelenco"/>
        <w:numPr>
          <w:ilvl w:val="0"/>
          <w:numId w:val="34"/>
        </w:numPr>
        <w:spacing w:line="360" w:lineRule="auto"/>
        <w:jc w:val="both"/>
        <w:rPr>
          <w:rFonts w:ascii="Arial" w:hAnsi="Arial" w:cs="Arial"/>
          <w:sz w:val="24"/>
          <w:szCs w:val="24"/>
          <w:lang w:eastAsia="it-IT"/>
        </w:rPr>
      </w:pPr>
      <w:r w:rsidRPr="000F2869">
        <w:rPr>
          <w:rFonts w:ascii="Arial" w:hAnsi="Arial" w:cs="Arial"/>
          <w:sz w:val="24"/>
          <w:szCs w:val="24"/>
          <w:lang w:eastAsia="it-IT"/>
        </w:rPr>
        <w:t>IAS 1 “Presentazione del bilancio”;</w:t>
      </w:r>
    </w:p>
    <w:p w:rsidR="00B93474" w:rsidRPr="000F2869" w:rsidRDefault="00B93474" w:rsidP="00EE6185">
      <w:pPr>
        <w:pStyle w:val="Paragrafoelenco"/>
        <w:numPr>
          <w:ilvl w:val="0"/>
          <w:numId w:val="34"/>
        </w:numPr>
        <w:spacing w:line="360" w:lineRule="auto"/>
        <w:jc w:val="both"/>
        <w:rPr>
          <w:rFonts w:ascii="Arial" w:hAnsi="Arial" w:cs="Arial"/>
          <w:sz w:val="24"/>
          <w:szCs w:val="24"/>
          <w:lang w:eastAsia="it-IT"/>
        </w:rPr>
      </w:pPr>
      <w:r w:rsidRPr="000F2869">
        <w:rPr>
          <w:rFonts w:ascii="Arial" w:hAnsi="Arial" w:cs="Arial"/>
          <w:sz w:val="24"/>
          <w:szCs w:val="24"/>
          <w:lang w:eastAsia="it-IT"/>
        </w:rPr>
        <w:t>IAS 39 “Strumenti finanziari: Rilevazione e valutazione”</w:t>
      </w:r>
    </w:p>
    <w:p w:rsidR="00B93474" w:rsidRPr="007771A9" w:rsidRDefault="00B93474" w:rsidP="007771A9">
      <w:pPr>
        <w:pStyle w:val="Paragrafoelenco"/>
        <w:numPr>
          <w:ilvl w:val="0"/>
          <w:numId w:val="43"/>
        </w:numPr>
        <w:spacing w:line="360" w:lineRule="auto"/>
        <w:jc w:val="both"/>
        <w:rPr>
          <w:rFonts w:ascii="Arial" w:hAnsi="Arial" w:cs="Arial"/>
          <w:sz w:val="24"/>
          <w:szCs w:val="24"/>
        </w:rPr>
      </w:pPr>
      <w:r w:rsidRPr="007771A9">
        <w:rPr>
          <w:rFonts w:ascii="Arial" w:hAnsi="Arial" w:cs="Arial"/>
          <w:sz w:val="24"/>
          <w:szCs w:val="24"/>
        </w:rPr>
        <w:t>della relazione finanziaria semestrale al 30 giugno 2015 ai seguenti principi contabili internazionali:</w:t>
      </w:r>
    </w:p>
    <w:p w:rsidR="00B93474" w:rsidRPr="000F2869" w:rsidRDefault="00B93474" w:rsidP="00EE6185">
      <w:pPr>
        <w:pStyle w:val="Paragrafoelenco"/>
        <w:numPr>
          <w:ilvl w:val="0"/>
          <w:numId w:val="34"/>
        </w:numPr>
        <w:spacing w:line="360" w:lineRule="auto"/>
        <w:jc w:val="both"/>
        <w:rPr>
          <w:rFonts w:ascii="Arial" w:hAnsi="Arial" w:cs="Arial"/>
          <w:sz w:val="24"/>
          <w:szCs w:val="24"/>
          <w:lang w:eastAsia="it-IT"/>
        </w:rPr>
      </w:pPr>
      <w:r w:rsidRPr="000F2869">
        <w:rPr>
          <w:rFonts w:ascii="Arial" w:hAnsi="Arial" w:cs="Arial"/>
          <w:sz w:val="24"/>
          <w:szCs w:val="24"/>
          <w:lang w:eastAsia="it-IT"/>
        </w:rPr>
        <w:t>IAS 1 “Presentazione del bilancio”;</w:t>
      </w:r>
    </w:p>
    <w:p w:rsidR="00B93474" w:rsidRPr="000F2869" w:rsidRDefault="00B93474" w:rsidP="00EE6185">
      <w:pPr>
        <w:pStyle w:val="Paragrafoelenco"/>
        <w:numPr>
          <w:ilvl w:val="0"/>
          <w:numId w:val="34"/>
        </w:numPr>
        <w:spacing w:line="360" w:lineRule="auto"/>
        <w:jc w:val="both"/>
        <w:rPr>
          <w:rFonts w:ascii="Arial" w:hAnsi="Arial" w:cs="Arial"/>
          <w:sz w:val="24"/>
          <w:szCs w:val="24"/>
          <w:lang w:eastAsia="it-IT"/>
        </w:rPr>
      </w:pPr>
      <w:r w:rsidRPr="000F2869">
        <w:rPr>
          <w:rFonts w:ascii="Arial" w:hAnsi="Arial" w:cs="Arial"/>
          <w:sz w:val="24"/>
          <w:szCs w:val="24"/>
          <w:lang w:eastAsia="it-IT"/>
        </w:rPr>
        <w:t>IAS 34 “Bilancio intermedio”;</w:t>
      </w:r>
    </w:p>
    <w:p w:rsidR="00B93474" w:rsidRDefault="00B93474" w:rsidP="00EE6185">
      <w:pPr>
        <w:pStyle w:val="Paragrafoelenco"/>
        <w:numPr>
          <w:ilvl w:val="0"/>
          <w:numId w:val="34"/>
        </w:numPr>
        <w:spacing w:line="360" w:lineRule="auto"/>
        <w:jc w:val="both"/>
        <w:rPr>
          <w:rFonts w:ascii="Arial" w:hAnsi="Arial" w:cs="Arial"/>
          <w:sz w:val="24"/>
          <w:szCs w:val="24"/>
          <w:lang w:eastAsia="it-IT"/>
        </w:rPr>
      </w:pPr>
      <w:r w:rsidRPr="000F2869">
        <w:rPr>
          <w:rFonts w:ascii="Arial" w:hAnsi="Arial" w:cs="Arial"/>
          <w:sz w:val="24"/>
          <w:szCs w:val="24"/>
          <w:lang w:eastAsia="it-IT"/>
        </w:rPr>
        <w:t>IAS 39 “Strumenti finanziari: Rilevazione e valutazione”.</w:t>
      </w:r>
    </w:p>
    <w:p w:rsidR="00B93474" w:rsidRDefault="00B93474" w:rsidP="008F09FA">
      <w:pPr>
        <w:spacing w:line="360" w:lineRule="auto"/>
        <w:jc w:val="both"/>
        <w:rPr>
          <w:rFonts w:ascii="Arial" w:hAnsi="Arial" w:cs="Arial"/>
        </w:rPr>
      </w:pPr>
      <w:r>
        <w:rPr>
          <w:rFonts w:ascii="Arial" w:hAnsi="Arial" w:cs="Arial"/>
        </w:rPr>
        <w:t>Conseguentemente, ha richiesto alla Banca di diffondere un comunicato stampa che renda noto l’accertamento effettuato e riporti le informazioni evidenziate all’inizio del presente comunicato.</w:t>
      </w:r>
    </w:p>
    <w:p w:rsidR="00B93474" w:rsidRDefault="00B93474" w:rsidP="008F09FA">
      <w:pPr>
        <w:spacing w:line="360" w:lineRule="auto"/>
        <w:jc w:val="both"/>
        <w:rPr>
          <w:rFonts w:ascii="Arial" w:hAnsi="Arial" w:cs="Arial"/>
        </w:rPr>
      </w:pPr>
    </w:p>
    <w:p w:rsidR="00587208" w:rsidRPr="008F09FA" w:rsidRDefault="00587208" w:rsidP="008F09FA">
      <w:pPr>
        <w:spacing w:line="360" w:lineRule="auto"/>
        <w:jc w:val="both"/>
        <w:rPr>
          <w:rFonts w:ascii="Arial" w:hAnsi="Arial" w:cs="Arial"/>
        </w:rPr>
      </w:pPr>
    </w:p>
    <w:p w:rsidR="00B93474" w:rsidRPr="00D32901" w:rsidRDefault="00B93474" w:rsidP="00E75D7F">
      <w:pPr>
        <w:pStyle w:val="Paragrafoelenco"/>
        <w:numPr>
          <w:ilvl w:val="0"/>
          <w:numId w:val="24"/>
        </w:numPr>
        <w:spacing w:line="360" w:lineRule="auto"/>
        <w:jc w:val="both"/>
        <w:rPr>
          <w:rFonts w:ascii="Arial" w:hAnsi="Arial" w:cs="Arial"/>
          <w:b/>
          <w:sz w:val="24"/>
        </w:rPr>
      </w:pPr>
      <w:r w:rsidRPr="00D32901">
        <w:rPr>
          <w:rFonts w:ascii="Arial" w:hAnsi="Arial" w:cs="Arial"/>
          <w:b/>
          <w:sz w:val="24"/>
        </w:rPr>
        <w:lastRenderedPageBreak/>
        <w:t>SITUAZIONI ECONOMICO-PATRIMONIALI CONSOLIDATE PRO-FORMA CORREDATE DEI DATI COMPARATIVI</w:t>
      </w:r>
    </w:p>
    <w:p w:rsidR="00B93474" w:rsidRPr="00CA5BC8" w:rsidRDefault="00B93474" w:rsidP="00CA5BC8">
      <w:pPr>
        <w:spacing w:line="360" w:lineRule="auto"/>
        <w:jc w:val="both"/>
        <w:rPr>
          <w:rFonts w:ascii="Arial" w:hAnsi="Arial" w:cs="Arial"/>
        </w:rPr>
      </w:pPr>
      <w:r>
        <w:rPr>
          <w:rFonts w:ascii="Arial" w:hAnsi="Arial" w:cs="Arial"/>
        </w:rPr>
        <w:t>In ottemperanza</w:t>
      </w:r>
      <w:r w:rsidRPr="00EF588D">
        <w:rPr>
          <w:rFonts w:ascii="Arial" w:hAnsi="Arial" w:cs="Arial"/>
        </w:rPr>
        <w:t xml:space="preserve"> alla richiesta di </w:t>
      </w:r>
      <w:proofErr w:type="spellStart"/>
      <w:r w:rsidR="00E15C25">
        <w:rPr>
          <w:rFonts w:ascii="Arial" w:hAnsi="Arial" w:cs="Arial"/>
        </w:rPr>
        <w:t>Consob</w:t>
      </w:r>
      <w:proofErr w:type="spellEnd"/>
      <w:r w:rsidRPr="00EF588D">
        <w:rPr>
          <w:rFonts w:ascii="Arial" w:hAnsi="Arial" w:cs="Arial"/>
        </w:rPr>
        <w:t>, in allegato sono riportati i prospetti economico-patrimoniali consolidati pro-forma di B</w:t>
      </w:r>
      <w:r>
        <w:rPr>
          <w:rFonts w:ascii="Arial" w:hAnsi="Arial" w:cs="Arial"/>
        </w:rPr>
        <w:t>MPS</w:t>
      </w:r>
      <w:r w:rsidRPr="00EF588D">
        <w:rPr>
          <w:rFonts w:ascii="Arial" w:hAnsi="Arial" w:cs="Arial"/>
        </w:rPr>
        <w:t>, corredati dai dati comparativi, i quali illustrano gli effetti che una contabilizzazione conforme a quanto indicato dall’Autorità avrebbe prodotto sulla situazione patrimoniale, sul conto economico e sul patrimonio netto dell’esercizio 2014 e del primo semestre 2015.</w:t>
      </w:r>
      <w:r>
        <w:rPr>
          <w:rFonts w:ascii="Arial" w:hAnsi="Arial" w:cs="Arial"/>
        </w:rPr>
        <w:t xml:space="preserve"> Si </w:t>
      </w:r>
      <w:r w:rsidRPr="00CA5BC8">
        <w:rPr>
          <w:rFonts w:ascii="Arial" w:hAnsi="Arial" w:cs="Arial"/>
        </w:rPr>
        <w:t xml:space="preserve">precisa che i prospetti pro-forma allegati al presente Comunicato riflettono, come peraltro riconosciuto dalla stessa </w:t>
      </w:r>
      <w:proofErr w:type="spellStart"/>
      <w:r w:rsidR="009C3A45">
        <w:rPr>
          <w:rFonts w:ascii="Arial" w:hAnsi="Arial" w:cs="Arial"/>
        </w:rPr>
        <w:t>Consob</w:t>
      </w:r>
      <w:proofErr w:type="spellEnd"/>
      <w:r w:rsidRPr="00CA5BC8">
        <w:rPr>
          <w:rFonts w:ascii="Arial" w:hAnsi="Arial" w:cs="Arial"/>
        </w:rPr>
        <w:t>, informazioni già comunicate al pubblico da BMPS in occasione della pubblicazione del bilancio consolidato e d’esercizio 2014 e della relazione finanziaria semestrale al 30 giugno 2015, avvenute rispettivamente in date 18.03.2015 e 12.08.2015. La Banca precisa altresì che, a far data dalla pubblicazione del bilancio consolidato e d’esercizio chiuso il 31 dicembre 2012, ha comunicato, con la pubblicazione di appositi pro-forma inseriti nei bilanci d’esercizio e consolidato e nell</w:t>
      </w:r>
      <w:r w:rsidR="007470B9">
        <w:rPr>
          <w:rFonts w:ascii="Arial" w:hAnsi="Arial" w:cs="Arial"/>
        </w:rPr>
        <w:t xml:space="preserve">e </w:t>
      </w:r>
      <w:r w:rsidRPr="00CA5BC8">
        <w:rPr>
          <w:rFonts w:ascii="Arial" w:hAnsi="Arial" w:cs="Arial"/>
        </w:rPr>
        <w:t>relazion</w:t>
      </w:r>
      <w:r w:rsidR="007470B9">
        <w:rPr>
          <w:rFonts w:ascii="Arial" w:hAnsi="Arial" w:cs="Arial"/>
        </w:rPr>
        <w:t xml:space="preserve">i </w:t>
      </w:r>
      <w:proofErr w:type="spellStart"/>
      <w:r w:rsidR="007470B9">
        <w:rPr>
          <w:rFonts w:ascii="Arial" w:hAnsi="Arial" w:cs="Arial"/>
        </w:rPr>
        <w:t>infrannuali</w:t>
      </w:r>
      <w:proofErr w:type="spellEnd"/>
      <w:r w:rsidRPr="00CA5BC8">
        <w:rPr>
          <w:rFonts w:ascii="Arial" w:hAnsi="Arial" w:cs="Arial"/>
        </w:rPr>
        <w:t>, gli effetti della contabilizzazione a saldi chiusi dell’operazione Alexandria sulla situazione patrimoniale, sul conto economico nonché sul patrimonio netto di BMPS.</w:t>
      </w:r>
    </w:p>
    <w:p w:rsidR="00B93474" w:rsidRDefault="00B93474" w:rsidP="00E15C25">
      <w:pPr>
        <w:pStyle w:val="Default"/>
        <w:spacing w:line="360" w:lineRule="auto"/>
        <w:jc w:val="both"/>
        <w:rPr>
          <w:rFonts w:ascii="Arial" w:hAnsi="Arial" w:cs="Arial"/>
          <w:color w:val="auto"/>
          <w:lang w:eastAsia="it-IT"/>
        </w:rPr>
      </w:pPr>
      <w:r w:rsidRPr="00EF588D">
        <w:rPr>
          <w:rFonts w:ascii="Arial" w:hAnsi="Arial" w:cs="Arial"/>
          <w:color w:val="auto"/>
          <w:lang w:eastAsia="it-IT"/>
        </w:rPr>
        <w:t>Il presente comunicato stampa deve essere letto congiuntamente al bilancio consolidato al 31 dicembre 2014 e alla relazione finanziaria semestrale al 30 giugno 2015 del Gruppo</w:t>
      </w:r>
      <w:r>
        <w:rPr>
          <w:rFonts w:ascii="Arial" w:hAnsi="Arial" w:cs="Arial"/>
          <w:color w:val="auto"/>
          <w:lang w:eastAsia="it-IT"/>
        </w:rPr>
        <w:t xml:space="preserve"> MPS</w:t>
      </w:r>
      <w:r w:rsidRPr="00EF588D">
        <w:rPr>
          <w:rFonts w:ascii="Arial" w:hAnsi="Arial" w:cs="Arial"/>
          <w:color w:val="auto"/>
          <w:lang w:eastAsia="it-IT"/>
        </w:rPr>
        <w:t xml:space="preserve"> già disponibili sul sito internet della Banca (www.</w:t>
      </w:r>
      <w:r>
        <w:rPr>
          <w:rFonts w:ascii="Arial" w:hAnsi="Arial" w:cs="Arial"/>
          <w:color w:val="auto"/>
          <w:lang w:eastAsia="it-IT"/>
        </w:rPr>
        <w:t>mps.it) alla sezione “I</w:t>
      </w:r>
      <w:r w:rsidRPr="00EF588D">
        <w:rPr>
          <w:rFonts w:ascii="Arial" w:hAnsi="Arial" w:cs="Arial"/>
          <w:color w:val="auto"/>
          <w:lang w:eastAsia="it-IT"/>
        </w:rPr>
        <w:t xml:space="preserve">nvestor </w:t>
      </w:r>
      <w:r>
        <w:rPr>
          <w:rFonts w:ascii="Arial" w:hAnsi="Arial" w:cs="Arial"/>
          <w:color w:val="auto"/>
          <w:lang w:eastAsia="it-IT"/>
        </w:rPr>
        <w:t>R</w:t>
      </w:r>
      <w:r w:rsidRPr="00EF588D">
        <w:rPr>
          <w:rFonts w:ascii="Arial" w:hAnsi="Arial" w:cs="Arial"/>
          <w:color w:val="auto"/>
          <w:lang w:eastAsia="it-IT"/>
        </w:rPr>
        <w:t xml:space="preserve">elations – </w:t>
      </w:r>
      <w:r>
        <w:rPr>
          <w:rFonts w:ascii="Arial" w:hAnsi="Arial" w:cs="Arial"/>
          <w:color w:val="auto"/>
          <w:lang w:eastAsia="it-IT"/>
        </w:rPr>
        <w:t>B</w:t>
      </w:r>
      <w:r w:rsidRPr="00EF588D">
        <w:rPr>
          <w:rFonts w:ascii="Arial" w:hAnsi="Arial" w:cs="Arial"/>
          <w:color w:val="auto"/>
          <w:lang w:eastAsia="it-IT"/>
        </w:rPr>
        <w:t>ilanci</w:t>
      </w:r>
      <w:r>
        <w:rPr>
          <w:rFonts w:ascii="Arial" w:hAnsi="Arial" w:cs="Arial"/>
          <w:color w:val="auto"/>
          <w:lang w:eastAsia="it-IT"/>
        </w:rPr>
        <w:t xml:space="preserve"> e Relazioni</w:t>
      </w:r>
      <w:r w:rsidRPr="00EF588D">
        <w:rPr>
          <w:rFonts w:ascii="Arial" w:hAnsi="Arial" w:cs="Arial"/>
          <w:color w:val="auto"/>
          <w:lang w:eastAsia="it-IT"/>
        </w:rPr>
        <w:t>”</w:t>
      </w:r>
      <w:r>
        <w:rPr>
          <w:rFonts w:ascii="Arial" w:hAnsi="Arial" w:cs="Arial"/>
          <w:color w:val="auto"/>
          <w:lang w:eastAsia="it-IT"/>
        </w:rPr>
        <w:t>, che peraltro già contengono i prospetti pro-forma qui allegati</w:t>
      </w:r>
      <w:r w:rsidRPr="00EF588D">
        <w:rPr>
          <w:rFonts w:ascii="Arial" w:hAnsi="Arial" w:cs="Arial"/>
          <w:color w:val="auto"/>
          <w:lang w:eastAsia="it-IT"/>
        </w:rPr>
        <w:t>.</w:t>
      </w:r>
    </w:p>
    <w:p w:rsidR="00B93474" w:rsidRDefault="00B93474" w:rsidP="00E15C25">
      <w:pPr>
        <w:pStyle w:val="Default"/>
        <w:spacing w:line="360" w:lineRule="auto"/>
        <w:jc w:val="both"/>
        <w:rPr>
          <w:rFonts w:ascii="Arial" w:hAnsi="Arial" w:cs="Arial"/>
          <w:color w:val="auto"/>
          <w:lang w:eastAsia="it-IT"/>
        </w:rPr>
      </w:pPr>
      <w:r w:rsidRPr="00EF588D">
        <w:rPr>
          <w:rFonts w:ascii="Arial" w:hAnsi="Arial" w:cs="Arial"/>
          <w:color w:val="auto"/>
          <w:lang w:eastAsia="it-IT"/>
        </w:rPr>
        <w:t>Si rammenta,</w:t>
      </w:r>
      <w:r w:rsidR="007470B9">
        <w:rPr>
          <w:rFonts w:ascii="Arial" w:hAnsi="Arial" w:cs="Arial"/>
          <w:color w:val="auto"/>
          <w:lang w:eastAsia="it-IT"/>
        </w:rPr>
        <w:t xml:space="preserve"> </w:t>
      </w:r>
      <w:r w:rsidRPr="00EF588D">
        <w:rPr>
          <w:rFonts w:ascii="Arial" w:hAnsi="Arial" w:cs="Arial"/>
          <w:color w:val="auto"/>
          <w:lang w:eastAsia="it-IT"/>
        </w:rPr>
        <w:t>infine, che la menzionata Delibera</w:t>
      </w:r>
      <w:r>
        <w:rPr>
          <w:rFonts w:ascii="Arial" w:hAnsi="Arial" w:cs="Arial"/>
          <w:color w:val="auto"/>
          <w:lang w:eastAsia="it-IT"/>
        </w:rPr>
        <w:t xml:space="preserve"> è </w:t>
      </w:r>
      <w:r w:rsidRPr="00EF588D">
        <w:rPr>
          <w:rFonts w:ascii="Arial" w:hAnsi="Arial" w:cs="Arial"/>
          <w:color w:val="auto"/>
          <w:lang w:eastAsia="it-IT"/>
        </w:rPr>
        <w:t>pubblicata nel sito internet</w:t>
      </w:r>
      <w:r w:rsidR="007470B9">
        <w:rPr>
          <w:rFonts w:ascii="Arial" w:hAnsi="Arial" w:cs="Arial"/>
          <w:color w:val="auto"/>
          <w:lang w:eastAsia="it-IT"/>
        </w:rPr>
        <w:t xml:space="preserve"> </w:t>
      </w:r>
      <w:r w:rsidRPr="00EF588D">
        <w:rPr>
          <w:rFonts w:ascii="Arial" w:hAnsi="Arial" w:cs="Arial"/>
          <w:color w:val="auto"/>
          <w:lang w:eastAsia="it-IT"/>
        </w:rPr>
        <w:t>(www.consob.it)</w:t>
      </w:r>
      <w:r>
        <w:rPr>
          <w:rFonts w:ascii="Arial" w:hAnsi="Arial" w:cs="Arial"/>
          <w:color w:val="auto"/>
          <w:lang w:eastAsia="it-IT"/>
        </w:rPr>
        <w:t xml:space="preserve"> e</w:t>
      </w:r>
      <w:r w:rsidRPr="00EF588D">
        <w:rPr>
          <w:rFonts w:ascii="Arial" w:hAnsi="Arial" w:cs="Arial"/>
          <w:color w:val="auto"/>
          <w:lang w:eastAsia="it-IT"/>
        </w:rPr>
        <w:t xml:space="preserve"> nel bollettino</w:t>
      </w:r>
      <w:r>
        <w:rPr>
          <w:rFonts w:ascii="Arial" w:hAnsi="Arial" w:cs="Arial"/>
          <w:color w:val="auto"/>
          <w:lang w:eastAsia="it-IT"/>
        </w:rPr>
        <w:t xml:space="preserve"> dell’Autorità</w:t>
      </w:r>
      <w:r w:rsidRPr="00EF588D">
        <w:rPr>
          <w:rFonts w:ascii="Arial" w:hAnsi="Arial" w:cs="Arial"/>
          <w:color w:val="auto"/>
          <w:lang w:eastAsia="it-IT"/>
        </w:rPr>
        <w:t>.</w:t>
      </w:r>
    </w:p>
    <w:p w:rsidR="00B93474" w:rsidRDefault="00B93474" w:rsidP="00E15C25">
      <w:pPr>
        <w:pStyle w:val="Default"/>
        <w:spacing w:line="360" w:lineRule="auto"/>
        <w:jc w:val="both"/>
        <w:rPr>
          <w:rFonts w:ascii="Arial" w:hAnsi="Arial" w:cs="Arial"/>
          <w:color w:val="auto"/>
          <w:lang w:eastAsia="it-IT"/>
        </w:rPr>
      </w:pPr>
    </w:p>
    <w:p w:rsidR="00B93474" w:rsidRPr="00EF588D" w:rsidRDefault="00B93474" w:rsidP="00EF588D">
      <w:pPr>
        <w:pStyle w:val="Default"/>
        <w:spacing w:line="360" w:lineRule="auto"/>
        <w:jc w:val="center"/>
        <w:rPr>
          <w:rFonts w:ascii="Arial" w:hAnsi="Arial" w:cs="Arial"/>
          <w:color w:val="auto"/>
          <w:lang w:eastAsia="it-IT"/>
        </w:rPr>
      </w:pPr>
      <w:r w:rsidRPr="00EF588D">
        <w:rPr>
          <w:rFonts w:ascii="Arial" w:hAnsi="Arial" w:cs="Arial"/>
          <w:color w:val="auto"/>
          <w:lang w:eastAsia="it-IT"/>
        </w:rPr>
        <w:t>* * *</w:t>
      </w:r>
    </w:p>
    <w:p w:rsidR="00B93474" w:rsidRDefault="00B93474" w:rsidP="00EF588D">
      <w:pPr>
        <w:pStyle w:val="Default"/>
        <w:spacing w:line="360" w:lineRule="auto"/>
        <w:rPr>
          <w:rFonts w:ascii="Arial" w:hAnsi="Arial" w:cs="Arial"/>
        </w:rPr>
      </w:pPr>
    </w:p>
    <w:p w:rsidR="00B93474" w:rsidRDefault="00B93474" w:rsidP="00E15C25">
      <w:pPr>
        <w:pStyle w:val="Default"/>
        <w:spacing w:line="360" w:lineRule="auto"/>
        <w:jc w:val="both"/>
        <w:rPr>
          <w:rFonts w:ascii="Arial" w:hAnsi="Arial" w:cs="Arial"/>
        </w:rPr>
      </w:pPr>
      <w:r>
        <w:rPr>
          <w:rFonts w:ascii="Arial" w:hAnsi="Arial" w:cs="Arial"/>
        </w:rPr>
        <w:t xml:space="preserve">Con riferimento al giudizio di non conformità espresso da </w:t>
      </w:r>
      <w:proofErr w:type="spellStart"/>
      <w:r w:rsidR="00E15C25">
        <w:rPr>
          <w:rFonts w:ascii="Arial" w:hAnsi="Arial" w:cs="Arial"/>
        </w:rPr>
        <w:t>Consob</w:t>
      </w:r>
      <w:proofErr w:type="spellEnd"/>
      <w:r>
        <w:rPr>
          <w:rFonts w:ascii="Arial" w:hAnsi="Arial" w:cs="Arial"/>
        </w:rPr>
        <w:t xml:space="preserve">, preme ricordare che la rappresentazione contabile dell’operazione “a saldi aperti” è stata supportata in più momenti da pareri di diversi autorevoli consulenti e condivisa con la società di revisione sia al momento del </w:t>
      </w:r>
      <w:proofErr w:type="spellStart"/>
      <w:r w:rsidRPr="00C86916">
        <w:rPr>
          <w:rFonts w:ascii="Arial" w:hAnsi="Arial" w:cs="Arial"/>
          <w:i/>
        </w:rPr>
        <w:t>restatement</w:t>
      </w:r>
      <w:proofErr w:type="spellEnd"/>
      <w:r>
        <w:rPr>
          <w:rFonts w:ascii="Arial" w:hAnsi="Arial" w:cs="Arial"/>
        </w:rPr>
        <w:t xml:space="preserve"> del 2012 sia nei bilanci successivi. Inoltre, tutta la documentazione disponibile al </w:t>
      </w:r>
      <w:r w:rsidRPr="00C86916">
        <w:rPr>
          <w:rFonts w:ascii="Arial" w:hAnsi="Arial" w:cs="Arial"/>
          <w:i/>
        </w:rPr>
        <w:t>management</w:t>
      </w:r>
      <w:r>
        <w:rPr>
          <w:rFonts w:ascii="Arial" w:hAnsi="Arial" w:cs="Arial"/>
        </w:rPr>
        <w:t xml:space="preserve"> della Banca è stata messa a disposizione </w:t>
      </w:r>
      <w:r>
        <w:rPr>
          <w:rFonts w:ascii="Arial" w:hAnsi="Arial" w:cs="Arial"/>
        </w:rPr>
        <w:lastRenderedPageBreak/>
        <w:t xml:space="preserve">delle Autorità di </w:t>
      </w:r>
      <w:r w:rsidR="00386444">
        <w:rPr>
          <w:rFonts w:ascii="Arial" w:hAnsi="Arial" w:cs="Arial"/>
        </w:rPr>
        <w:t>v</w:t>
      </w:r>
      <w:r>
        <w:rPr>
          <w:rFonts w:ascii="Arial" w:hAnsi="Arial" w:cs="Arial"/>
        </w:rPr>
        <w:t xml:space="preserve">igilanza e delle Autorità </w:t>
      </w:r>
      <w:r w:rsidR="00386444">
        <w:rPr>
          <w:rFonts w:ascii="Arial" w:hAnsi="Arial" w:cs="Arial"/>
        </w:rPr>
        <w:t>g</w:t>
      </w:r>
      <w:r>
        <w:rPr>
          <w:rFonts w:ascii="Arial" w:hAnsi="Arial" w:cs="Arial"/>
        </w:rPr>
        <w:t>iudiziarie attraverso un continuo scambio di informazioni che si è protratto dal 2012 ad oggi.</w:t>
      </w:r>
    </w:p>
    <w:p w:rsidR="00B93474" w:rsidRDefault="00B93474" w:rsidP="00E15C25">
      <w:pPr>
        <w:pStyle w:val="Default"/>
        <w:spacing w:line="360" w:lineRule="auto"/>
        <w:jc w:val="both"/>
        <w:rPr>
          <w:rFonts w:ascii="Arial" w:hAnsi="Arial" w:cs="Arial"/>
        </w:rPr>
      </w:pPr>
      <w:r>
        <w:rPr>
          <w:rFonts w:ascii="Arial" w:hAnsi="Arial" w:cs="Arial"/>
        </w:rPr>
        <w:t xml:space="preserve">Preme inoltre sottolineare che la Banca ha costantemente rappresentato, a partire dal bilancio 2012, quale “scelta contabile rilevante” il trattamento seguito per le operazioni di </w:t>
      </w:r>
      <w:r w:rsidRPr="00E6079F">
        <w:rPr>
          <w:rFonts w:ascii="Arial" w:hAnsi="Arial" w:cs="Arial"/>
          <w:i/>
        </w:rPr>
        <w:t xml:space="preserve">long </w:t>
      </w:r>
      <w:proofErr w:type="spellStart"/>
      <w:r w:rsidRPr="00E6079F">
        <w:rPr>
          <w:rFonts w:ascii="Arial" w:hAnsi="Arial" w:cs="Arial"/>
          <w:i/>
        </w:rPr>
        <w:t>term</w:t>
      </w:r>
      <w:proofErr w:type="spellEnd"/>
      <w:r w:rsidRPr="00E6079F">
        <w:rPr>
          <w:rFonts w:ascii="Arial" w:hAnsi="Arial" w:cs="Arial"/>
          <w:i/>
        </w:rPr>
        <w:t xml:space="preserve"> </w:t>
      </w:r>
      <w:proofErr w:type="spellStart"/>
      <w:r w:rsidRPr="00E6079F">
        <w:rPr>
          <w:rFonts w:ascii="Arial" w:hAnsi="Arial" w:cs="Arial"/>
          <w:i/>
        </w:rPr>
        <w:t>structured</w:t>
      </w:r>
      <w:proofErr w:type="spellEnd"/>
      <w:r w:rsidRPr="00E6079F">
        <w:rPr>
          <w:rFonts w:ascii="Arial" w:hAnsi="Arial" w:cs="Arial"/>
          <w:i/>
        </w:rPr>
        <w:t xml:space="preserve"> </w:t>
      </w:r>
      <w:proofErr w:type="spellStart"/>
      <w:r w:rsidRPr="00E6079F">
        <w:rPr>
          <w:rFonts w:ascii="Arial" w:hAnsi="Arial" w:cs="Arial"/>
          <w:i/>
        </w:rPr>
        <w:t>repo</w:t>
      </w:r>
      <w:proofErr w:type="spellEnd"/>
      <w:r>
        <w:rPr>
          <w:rFonts w:ascii="Arial" w:hAnsi="Arial" w:cs="Arial"/>
        </w:rPr>
        <w:t xml:space="preserve">, in conformità a quanto richiesto dal Documento congiunto Banca d’Italia, </w:t>
      </w:r>
      <w:proofErr w:type="spellStart"/>
      <w:r w:rsidR="00E15C25">
        <w:rPr>
          <w:rFonts w:ascii="Arial" w:hAnsi="Arial" w:cs="Arial"/>
        </w:rPr>
        <w:t>Consob</w:t>
      </w:r>
      <w:proofErr w:type="spellEnd"/>
      <w:r>
        <w:rPr>
          <w:rFonts w:ascii="Arial" w:hAnsi="Arial" w:cs="Arial"/>
        </w:rPr>
        <w:t xml:space="preserve"> ed IVASS n.6 dell’8 marzo 2013, evidenziando tramite prospetti pro forma gli effetti economico-patrimoniali di una rappresentazione delle operazioni della specie come derivati sintetici (</w:t>
      </w:r>
      <w:r w:rsidRPr="001E6229">
        <w:rPr>
          <w:rFonts w:ascii="Arial" w:hAnsi="Arial" w:cs="Arial"/>
          <w:i/>
        </w:rPr>
        <w:t>Credit Default Swap</w:t>
      </w:r>
      <w:r>
        <w:rPr>
          <w:rFonts w:ascii="Arial" w:hAnsi="Arial" w:cs="Arial"/>
        </w:rPr>
        <w:t>).</w:t>
      </w:r>
    </w:p>
    <w:p w:rsidR="00B93474" w:rsidRDefault="00B93474" w:rsidP="00E15C25">
      <w:pPr>
        <w:pStyle w:val="Default"/>
        <w:spacing w:line="360" w:lineRule="auto"/>
        <w:jc w:val="both"/>
        <w:rPr>
          <w:rFonts w:ascii="Arial" w:hAnsi="Arial" w:cs="Arial"/>
        </w:rPr>
      </w:pPr>
      <w:r w:rsidRPr="007A72E6">
        <w:rPr>
          <w:rFonts w:ascii="Arial" w:hAnsi="Arial" w:cs="Arial"/>
        </w:rPr>
        <w:t xml:space="preserve">A partire dal bilancio 2014, per effetto della SREP </w:t>
      </w:r>
      <w:proofErr w:type="spellStart"/>
      <w:r w:rsidRPr="007A72E6">
        <w:rPr>
          <w:rFonts w:ascii="Arial" w:hAnsi="Arial" w:cs="Arial"/>
        </w:rPr>
        <w:t>Decision</w:t>
      </w:r>
      <w:proofErr w:type="spellEnd"/>
      <w:r w:rsidRPr="007A72E6">
        <w:rPr>
          <w:rFonts w:ascii="Arial" w:hAnsi="Arial" w:cs="Arial"/>
        </w:rPr>
        <w:t xml:space="preserve"> della BCE del 10 febbraio 2015</w:t>
      </w:r>
      <w:r w:rsidRPr="007A72E6">
        <w:t xml:space="preserve"> </w:t>
      </w:r>
      <w:r w:rsidRPr="007A72E6">
        <w:rPr>
          <w:rFonts w:ascii="Arial" w:hAnsi="Arial" w:cs="Arial"/>
        </w:rPr>
        <w:t>l’operazione</w:t>
      </w:r>
      <w:r w:rsidR="00BE3BB7">
        <w:rPr>
          <w:rFonts w:ascii="Arial" w:hAnsi="Arial" w:cs="Arial"/>
        </w:rPr>
        <w:t xml:space="preserve"> c.d.</w:t>
      </w:r>
      <w:r w:rsidRPr="007A72E6">
        <w:rPr>
          <w:rFonts w:ascii="Arial" w:hAnsi="Arial" w:cs="Arial"/>
        </w:rPr>
        <w:t xml:space="preserve"> Alexandria è stata considerata nel CET 1 per l’intero importo della riserva AFS negativa connessa ai titoli di stato oggetto dell’operazione, in deroga alla regola generale più favorevole, in virtù della quale la riserva AFS relativa ai titoli di stato, fino all’omologazione dell’IFRS 9, non rileva ai fini della determinazione dei Fondi propri. Tale trattamento prudenziale ha reso gli impatti </w:t>
      </w:r>
      <w:r>
        <w:rPr>
          <w:rFonts w:ascii="Arial" w:hAnsi="Arial" w:cs="Arial"/>
        </w:rPr>
        <w:t xml:space="preserve">sul CET 1 </w:t>
      </w:r>
      <w:r w:rsidRPr="007A72E6">
        <w:rPr>
          <w:rFonts w:ascii="Arial" w:hAnsi="Arial" w:cs="Arial"/>
        </w:rPr>
        <w:t>sostanzialmente equivalenti a quelli di un CDS.</w:t>
      </w:r>
    </w:p>
    <w:p w:rsidR="00B93474" w:rsidRPr="00675B7A" w:rsidRDefault="00B93474" w:rsidP="00E15C25">
      <w:pPr>
        <w:pStyle w:val="Default"/>
        <w:spacing w:line="360" w:lineRule="auto"/>
        <w:jc w:val="both"/>
        <w:rPr>
          <w:rFonts w:ascii="Arial" w:hAnsi="Arial" w:cs="Arial"/>
        </w:rPr>
      </w:pPr>
      <w:r>
        <w:rPr>
          <w:rFonts w:ascii="Arial" w:hAnsi="Arial" w:cs="Arial"/>
        </w:rPr>
        <w:t>Infine, si ricorda che l’operazione</w:t>
      </w:r>
      <w:r w:rsidR="00BE3BB7">
        <w:rPr>
          <w:rFonts w:ascii="Arial" w:hAnsi="Arial" w:cs="Arial"/>
        </w:rPr>
        <w:t xml:space="preserve"> c.d. Alexandria</w:t>
      </w:r>
      <w:r>
        <w:rPr>
          <w:rFonts w:ascii="Arial" w:hAnsi="Arial" w:cs="Arial"/>
        </w:rPr>
        <w:t xml:space="preserve"> è stata chiusa il 23 settembre 2015. </w:t>
      </w:r>
      <w:r w:rsidRPr="00675B7A">
        <w:rPr>
          <w:rFonts w:ascii="Arial" w:hAnsi="Arial" w:cs="Arial"/>
        </w:rPr>
        <w:t>Pertanto</w:t>
      </w:r>
      <w:r w:rsidR="0099712C" w:rsidRPr="00675B7A">
        <w:rPr>
          <w:rFonts w:ascii="Arial" w:hAnsi="Arial" w:cs="Arial"/>
        </w:rPr>
        <w:t>,</w:t>
      </w:r>
      <w:r w:rsidRPr="00675B7A">
        <w:rPr>
          <w:rFonts w:ascii="Arial" w:hAnsi="Arial" w:cs="Arial"/>
        </w:rPr>
        <w:t xml:space="preserve"> la rappresentazione contabile come CDS non produce effetti sulla situazione reddituale prospettica della Banca.</w:t>
      </w:r>
    </w:p>
    <w:p w:rsidR="00DA2A72" w:rsidRPr="00DD79E6" w:rsidRDefault="00DA2A72" w:rsidP="00E15C25">
      <w:pPr>
        <w:pStyle w:val="Default"/>
        <w:spacing w:line="360" w:lineRule="auto"/>
        <w:jc w:val="both"/>
        <w:rPr>
          <w:rFonts w:ascii="Arial" w:hAnsi="Arial" w:cs="Arial"/>
        </w:rPr>
      </w:pPr>
      <w:r w:rsidRPr="00DD79E6">
        <w:rPr>
          <w:rFonts w:ascii="Arial" w:hAnsi="Arial" w:cs="Arial"/>
        </w:rPr>
        <w:t xml:space="preserve">A tal riguardo si fa presente che, </w:t>
      </w:r>
      <w:r w:rsidR="008030C2">
        <w:rPr>
          <w:rFonts w:ascii="Arial" w:hAnsi="Arial" w:cs="Arial"/>
        </w:rPr>
        <w:t>sulla base</w:t>
      </w:r>
      <w:r w:rsidRPr="00DD79E6">
        <w:rPr>
          <w:rFonts w:ascii="Arial" w:hAnsi="Arial" w:cs="Arial"/>
        </w:rPr>
        <w:t xml:space="preserve"> delle informazioni allo stato disponibili, è possibile stimare che la rappresentazione “a saldi chiusi” dell’operazione sia idonea a determinare</w:t>
      </w:r>
      <w:r w:rsidR="00512B83" w:rsidRPr="00DD79E6">
        <w:rPr>
          <w:rFonts w:ascii="Arial" w:hAnsi="Arial" w:cs="Arial"/>
        </w:rPr>
        <w:t>,</w:t>
      </w:r>
      <w:r w:rsidR="006525B3" w:rsidRPr="00DD79E6">
        <w:rPr>
          <w:rFonts w:ascii="Arial" w:hAnsi="Arial" w:cs="Arial"/>
        </w:rPr>
        <w:t xml:space="preserve"> rispetto alla rappresentazione a saldi aperti,</w:t>
      </w:r>
      <w:r w:rsidR="00D77B41">
        <w:rPr>
          <w:rFonts w:ascii="Arial" w:hAnsi="Arial" w:cs="Arial"/>
        </w:rPr>
        <w:t xml:space="preserve"> un impatto differenziale positivo</w:t>
      </w:r>
      <w:r w:rsidR="006525B3" w:rsidRPr="00DD79E6">
        <w:rPr>
          <w:rFonts w:ascii="Arial" w:hAnsi="Arial" w:cs="Arial"/>
        </w:rPr>
        <w:t xml:space="preserve"> </w:t>
      </w:r>
      <w:r w:rsidRPr="00DD79E6">
        <w:rPr>
          <w:rFonts w:ascii="Arial" w:hAnsi="Arial" w:cs="Arial"/>
        </w:rPr>
        <w:t>sul conto economico del 2015 di</w:t>
      </w:r>
      <w:r w:rsidR="002C279A" w:rsidRPr="00DD79E6">
        <w:rPr>
          <w:rFonts w:ascii="Arial" w:hAnsi="Arial" w:cs="Arial"/>
        </w:rPr>
        <w:t xml:space="preserve"> 714</w:t>
      </w:r>
      <w:r w:rsidRPr="00DD79E6">
        <w:rPr>
          <w:rFonts w:ascii="Arial" w:hAnsi="Arial" w:cs="Arial"/>
        </w:rPr>
        <w:t xml:space="preserve"> milioni di euro al lordo dell’effetto fiscale. </w:t>
      </w:r>
      <w:r w:rsidR="005C5CB2" w:rsidRPr="00DD79E6">
        <w:rPr>
          <w:rFonts w:ascii="Arial" w:hAnsi="Arial" w:cs="Arial"/>
        </w:rPr>
        <w:t>Sotto il profilo patrimoniale, l’operazione non dovrebbe avere effetti</w:t>
      </w:r>
      <w:r w:rsidR="008209DC">
        <w:rPr>
          <w:rFonts w:ascii="Arial" w:hAnsi="Arial" w:cs="Arial"/>
        </w:rPr>
        <w:t>.</w:t>
      </w:r>
      <w:r w:rsidR="005C5CB2" w:rsidRPr="00DD79E6">
        <w:rPr>
          <w:rFonts w:ascii="Arial" w:hAnsi="Arial" w:cs="Arial"/>
        </w:rPr>
        <w:t>.</w:t>
      </w:r>
      <w:r w:rsidR="008209DC">
        <w:rPr>
          <w:rFonts w:ascii="Arial" w:hAnsi="Arial" w:cs="Arial"/>
        </w:rPr>
        <w:t xml:space="preserve"> Tuttavia, </w:t>
      </w:r>
      <w:r w:rsidR="00D77B41">
        <w:rPr>
          <w:rFonts w:ascii="Arial" w:hAnsi="Arial" w:cs="Arial"/>
        </w:rPr>
        <w:t>facendo riferimento ai soli</w:t>
      </w:r>
      <w:r w:rsidR="008209DC">
        <w:rPr>
          <w:rFonts w:ascii="Arial" w:hAnsi="Arial" w:cs="Arial"/>
        </w:rPr>
        <w:t xml:space="preserve"> impatti economici differenziali stimati sugli esercizi interessati (dal 2009 al 2015)</w:t>
      </w:r>
      <w:r w:rsidR="009A2D2D">
        <w:rPr>
          <w:rFonts w:ascii="Arial" w:hAnsi="Arial" w:cs="Arial"/>
        </w:rPr>
        <w:t>, va tenuto presente</w:t>
      </w:r>
      <w:r w:rsidR="00BE3BB7">
        <w:rPr>
          <w:rFonts w:ascii="Arial" w:hAnsi="Arial" w:cs="Arial"/>
        </w:rPr>
        <w:t xml:space="preserve"> il rischio</w:t>
      </w:r>
      <w:r w:rsidR="009A2D2D">
        <w:rPr>
          <w:rFonts w:ascii="Arial" w:hAnsi="Arial" w:cs="Arial"/>
        </w:rPr>
        <w:t xml:space="preserve"> che, in a</w:t>
      </w:r>
      <w:r w:rsidR="00BE3BB7">
        <w:rPr>
          <w:rFonts w:ascii="Arial" w:hAnsi="Arial" w:cs="Arial"/>
        </w:rPr>
        <w:t>ggiunta alle imposte relative ai</w:t>
      </w:r>
      <w:r w:rsidR="009A2D2D">
        <w:rPr>
          <w:rFonts w:ascii="Arial" w:hAnsi="Arial" w:cs="Arial"/>
        </w:rPr>
        <w:t xml:space="preserve"> maggior</w:t>
      </w:r>
      <w:r w:rsidR="00BE3BB7">
        <w:rPr>
          <w:rFonts w:ascii="Arial" w:hAnsi="Arial" w:cs="Arial"/>
        </w:rPr>
        <w:t>i proventi</w:t>
      </w:r>
      <w:r w:rsidR="009A2D2D">
        <w:rPr>
          <w:rFonts w:ascii="Arial" w:hAnsi="Arial" w:cs="Arial"/>
        </w:rPr>
        <w:t xml:space="preserve"> dell’esercizio 2015, </w:t>
      </w:r>
      <w:r w:rsidR="00BE3BB7">
        <w:rPr>
          <w:rFonts w:ascii="Arial" w:hAnsi="Arial" w:cs="Arial"/>
        </w:rPr>
        <w:t xml:space="preserve">vi sia </w:t>
      </w:r>
      <w:r w:rsidR="009A2D2D">
        <w:rPr>
          <w:rFonts w:ascii="Arial" w:hAnsi="Arial" w:cs="Arial"/>
        </w:rPr>
        <w:t>un</w:t>
      </w:r>
      <w:r w:rsidR="00D77B41">
        <w:rPr>
          <w:rFonts w:ascii="Arial" w:hAnsi="Arial" w:cs="Arial"/>
        </w:rPr>
        <w:t xml:space="preserve"> </w:t>
      </w:r>
      <w:r w:rsidR="009A2D2D">
        <w:rPr>
          <w:rFonts w:ascii="Arial" w:hAnsi="Arial" w:cs="Arial"/>
        </w:rPr>
        <w:t>effetto fiscale negativo che</w:t>
      </w:r>
      <w:r w:rsidR="00D77B41">
        <w:rPr>
          <w:rFonts w:ascii="Arial" w:hAnsi="Arial" w:cs="Arial"/>
        </w:rPr>
        <w:t xml:space="preserve"> potrà essere compiutamente determinato solo a seguito di approfondite analisi e che</w:t>
      </w:r>
      <w:r w:rsidR="009A2D2D">
        <w:rPr>
          <w:rFonts w:ascii="Arial" w:hAnsi="Arial" w:cs="Arial"/>
        </w:rPr>
        <w:t>, allo stato</w:t>
      </w:r>
      <w:r w:rsidR="00D77B41">
        <w:rPr>
          <w:rFonts w:ascii="Arial" w:hAnsi="Arial" w:cs="Arial"/>
        </w:rPr>
        <w:t>,</w:t>
      </w:r>
      <w:r w:rsidR="009A2D2D">
        <w:rPr>
          <w:rFonts w:ascii="Arial" w:hAnsi="Arial" w:cs="Arial"/>
        </w:rPr>
        <w:t xml:space="preserve"> è possibile stimare in un importo pari a circa 130 milioni di euro. </w:t>
      </w:r>
    </w:p>
    <w:p w:rsidR="002C279A" w:rsidRPr="008209DC" w:rsidRDefault="002C279A" w:rsidP="00E15C25">
      <w:pPr>
        <w:pStyle w:val="Default"/>
        <w:spacing w:line="360" w:lineRule="auto"/>
        <w:jc w:val="both"/>
        <w:rPr>
          <w:rFonts w:ascii="Arial" w:hAnsi="Arial" w:cs="Arial"/>
        </w:rPr>
      </w:pPr>
      <w:r w:rsidRPr="00DD79E6">
        <w:rPr>
          <w:rFonts w:ascii="Arial" w:hAnsi="Arial" w:cs="Arial"/>
        </w:rPr>
        <w:t xml:space="preserve">Nella tabella allegata sono riepilogati </w:t>
      </w:r>
      <w:r w:rsidR="009A2D2D">
        <w:rPr>
          <w:rFonts w:ascii="Arial" w:hAnsi="Arial" w:cs="Arial"/>
        </w:rPr>
        <w:t>i menzionati</w:t>
      </w:r>
      <w:r w:rsidRPr="00DD79E6">
        <w:rPr>
          <w:rFonts w:ascii="Arial" w:hAnsi="Arial" w:cs="Arial"/>
        </w:rPr>
        <w:t xml:space="preserve"> impatti economici </w:t>
      </w:r>
      <w:r w:rsidR="006525B3" w:rsidRPr="00DD79E6">
        <w:rPr>
          <w:rFonts w:ascii="Arial" w:hAnsi="Arial" w:cs="Arial"/>
        </w:rPr>
        <w:t xml:space="preserve">differenziali </w:t>
      </w:r>
      <w:r w:rsidRPr="00DD79E6">
        <w:rPr>
          <w:rFonts w:ascii="Arial" w:hAnsi="Arial" w:cs="Arial"/>
        </w:rPr>
        <w:t>stimati, al lordo dell’effetto fiscale,  derivanti dalla rappresentazione contabile come derivato.</w:t>
      </w:r>
    </w:p>
    <w:p w:rsidR="00B93474" w:rsidRDefault="00B93474" w:rsidP="00E15C25">
      <w:pPr>
        <w:pStyle w:val="Default"/>
        <w:spacing w:line="360" w:lineRule="auto"/>
        <w:jc w:val="both"/>
        <w:rPr>
          <w:rFonts w:ascii="Arial" w:hAnsi="Arial" w:cs="Arial"/>
        </w:rPr>
      </w:pPr>
      <w:r w:rsidRPr="00EF588D">
        <w:rPr>
          <w:rFonts w:ascii="Arial" w:hAnsi="Arial" w:cs="Arial"/>
        </w:rPr>
        <w:t xml:space="preserve">La Banca </w:t>
      </w:r>
      <w:r>
        <w:rPr>
          <w:rFonts w:ascii="Arial" w:hAnsi="Arial" w:cs="Arial"/>
        </w:rPr>
        <w:t>osserva infine che gli elementi raccolti nel corso delle indagini della Procura della Repubblica presso il Tribunale di Milano e resi noti nel corso del 2015, hanno consentito di arricchire il quadro informativo dell’operazione</w:t>
      </w:r>
      <w:r w:rsidR="00BE3BB7">
        <w:rPr>
          <w:rFonts w:ascii="Arial" w:hAnsi="Arial" w:cs="Arial"/>
        </w:rPr>
        <w:t xml:space="preserve"> c.d. Alexandria</w:t>
      </w:r>
      <w:r>
        <w:rPr>
          <w:rFonts w:ascii="Arial" w:hAnsi="Arial" w:cs="Arial"/>
        </w:rPr>
        <w:t xml:space="preserve">. Tali elementi </w:t>
      </w:r>
      <w:r>
        <w:rPr>
          <w:rFonts w:ascii="Arial" w:hAnsi="Arial" w:cs="Arial"/>
        </w:rPr>
        <w:lastRenderedPageBreak/>
        <w:t xml:space="preserve">sono stati assunti </w:t>
      </w:r>
      <w:r w:rsidRPr="00B84069">
        <w:rPr>
          <w:rFonts w:ascii="Arial" w:hAnsi="Arial" w:cs="Arial"/>
        </w:rPr>
        <w:t xml:space="preserve">dai Pubblici Ministeri nell’esercizio di </w:t>
      </w:r>
      <w:r>
        <w:rPr>
          <w:rFonts w:ascii="Arial" w:hAnsi="Arial" w:cs="Arial"/>
        </w:rPr>
        <w:t xml:space="preserve">specifici </w:t>
      </w:r>
      <w:r w:rsidRPr="00B84069">
        <w:rPr>
          <w:rFonts w:ascii="Arial" w:hAnsi="Arial" w:cs="Arial"/>
        </w:rPr>
        <w:t xml:space="preserve">poteri </w:t>
      </w:r>
      <w:r>
        <w:rPr>
          <w:rFonts w:ascii="Arial" w:hAnsi="Arial" w:cs="Arial"/>
        </w:rPr>
        <w:t xml:space="preserve">e </w:t>
      </w:r>
      <w:r w:rsidRPr="00B84069">
        <w:rPr>
          <w:rFonts w:ascii="Arial" w:hAnsi="Arial" w:cs="Arial"/>
        </w:rPr>
        <w:t>con strume</w:t>
      </w:r>
      <w:r>
        <w:rPr>
          <w:rFonts w:ascii="Arial" w:hAnsi="Arial" w:cs="Arial"/>
        </w:rPr>
        <w:t>nti tipici dell’indagine penale</w:t>
      </w:r>
      <w:r w:rsidRPr="00B84069">
        <w:rPr>
          <w:rFonts w:ascii="Arial" w:hAnsi="Arial" w:cs="Arial"/>
        </w:rPr>
        <w:t xml:space="preserve"> </w:t>
      </w:r>
      <w:r>
        <w:rPr>
          <w:rFonts w:ascii="Arial" w:hAnsi="Arial" w:cs="Arial"/>
        </w:rPr>
        <w:t xml:space="preserve">e si riferiscono principalmente, per ciò che qui interessa, alle verifiche condotte sui depositi titoli della controparte e alle deposizioni di alcuni dipendenti di quest’ultima. Circostanze, queste ultime, che, come tali, non erano conosciute (né potevano esserlo) dal </w:t>
      </w:r>
      <w:r w:rsidRPr="00E15C25">
        <w:rPr>
          <w:rFonts w:ascii="Arial" w:hAnsi="Arial" w:cs="Arial"/>
          <w:i/>
        </w:rPr>
        <w:t>management</w:t>
      </w:r>
      <w:r>
        <w:rPr>
          <w:rFonts w:ascii="Arial" w:hAnsi="Arial" w:cs="Arial"/>
        </w:rPr>
        <w:t xml:space="preserve"> della Banca che è succeduto a quello che effettuò l’operazione.</w:t>
      </w:r>
      <w:r w:rsidR="006735EC">
        <w:rPr>
          <w:rFonts w:ascii="Arial" w:hAnsi="Arial" w:cs="Arial"/>
        </w:rPr>
        <w:t xml:space="preserve"> L’inte</w:t>
      </w:r>
      <w:r w:rsidR="00E57625">
        <w:rPr>
          <w:rFonts w:ascii="Arial" w:hAnsi="Arial" w:cs="Arial"/>
        </w:rPr>
        <w:t>r</w:t>
      </w:r>
      <w:r w:rsidR="006735EC">
        <w:rPr>
          <w:rFonts w:ascii="Arial" w:hAnsi="Arial" w:cs="Arial"/>
        </w:rPr>
        <w:t>pretazione</w:t>
      </w:r>
      <w:r>
        <w:rPr>
          <w:rFonts w:ascii="Arial" w:hAnsi="Arial" w:cs="Arial"/>
        </w:rPr>
        <w:t xml:space="preserve"> </w:t>
      </w:r>
      <w:r w:rsidR="006735EC">
        <w:rPr>
          <w:rFonts w:ascii="Arial" w:hAnsi="Arial" w:cs="Arial"/>
        </w:rPr>
        <w:t xml:space="preserve">di tale </w:t>
      </w:r>
      <w:r>
        <w:rPr>
          <w:rFonts w:ascii="Arial" w:hAnsi="Arial" w:cs="Arial"/>
        </w:rPr>
        <w:t>nuovo quadro informativo</w:t>
      </w:r>
      <w:r w:rsidR="00BE3BB7">
        <w:rPr>
          <w:rFonts w:ascii="Arial" w:hAnsi="Arial" w:cs="Arial"/>
        </w:rPr>
        <w:t xml:space="preserve"> da parte di </w:t>
      </w:r>
      <w:proofErr w:type="spellStart"/>
      <w:r w:rsidR="00BE3BB7">
        <w:rPr>
          <w:rFonts w:ascii="Arial" w:hAnsi="Arial" w:cs="Arial"/>
        </w:rPr>
        <w:t>Consob</w:t>
      </w:r>
      <w:proofErr w:type="spellEnd"/>
      <w:r>
        <w:rPr>
          <w:rFonts w:ascii="Arial" w:hAnsi="Arial" w:cs="Arial"/>
        </w:rPr>
        <w:t xml:space="preserve">, </w:t>
      </w:r>
      <w:r w:rsidR="006735EC">
        <w:rPr>
          <w:rFonts w:ascii="Arial" w:hAnsi="Arial" w:cs="Arial"/>
        </w:rPr>
        <w:t xml:space="preserve">di cui la Banca non può che prendere atto, </w:t>
      </w:r>
      <w:r>
        <w:rPr>
          <w:rFonts w:ascii="Arial" w:hAnsi="Arial" w:cs="Arial"/>
        </w:rPr>
        <w:t xml:space="preserve">secondo </w:t>
      </w:r>
      <w:r w:rsidR="00BE3BB7">
        <w:rPr>
          <w:rFonts w:ascii="Arial" w:hAnsi="Arial" w:cs="Arial"/>
        </w:rPr>
        <w:t>l’Autorità</w:t>
      </w:r>
      <w:r>
        <w:rPr>
          <w:rFonts w:ascii="Arial" w:hAnsi="Arial" w:cs="Arial"/>
        </w:rPr>
        <w:t xml:space="preserve"> consente di ricostruire una diversa volontà negoziale del</w:t>
      </w:r>
      <w:r w:rsidRPr="006F5788">
        <w:rPr>
          <w:rFonts w:ascii="Arial" w:hAnsi="Arial" w:cs="Arial"/>
          <w:i/>
        </w:rPr>
        <w:t xml:space="preserve"> management pro tempore</w:t>
      </w:r>
      <w:r>
        <w:rPr>
          <w:rFonts w:ascii="Arial" w:hAnsi="Arial" w:cs="Arial"/>
        </w:rPr>
        <w:t xml:space="preserve"> di BMPS e porta, sempre a parere della Commissione, ad un </w:t>
      </w:r>
      <w:r w:rsidRPr="006F5788">
        <w:rPr>
          <w:rFonts w:ascii="Arial" w:hAnsi="Arial" w:cs="Arial"/>
          <w:i/>
        </w:rPr>
        <w:t xml:space="preserve">diverso business </w:t>
      </w:r>
      <w:proofErr w:type="spellStart"/>
      <w:r w:rsidRPr="006F5788">
        <w:rPr>
          <w:rFonts w:ascii="Arial" w:hAnsi="Arial" w:cs="Arial"/>
          <w:i/>
        </w:rPr>
        <w:t>purpose</w:t>
      </w:r>
      <w:proofErr w:type="spellEnd"/>
      <w:r>
        <w:rPr>
          <w:rFonts w:ascii="Arial" w:hAnsi="Arial" w:cs="Arial"/>
        </w:rPr>
        <w:t xml:space="preserve"> rispetto a quello dichiarato dalla Banca sulla base dei contratti stipulati e degli altri elementi documentali interni; da ciò consegue, secondo l’Autorità, la necessità di rappresentare l’operazione</w:t>
      </w:r>
      <w:r w:rsidRPr="00C87DC8">
        <w:rPr>
          <w:rFonts w:ascii="Arial" w:hAnsi="Arial" w:cs="Arial"/>
        </w:rPr>
        <w:t xml:space="preserve"> </w:t>
      </w:r>
      <w:r>
        <w:rPr>
          <w:rFonts w:ascii="Arial" w:hAnsi="Arial" w:cs="Arial"/>
        </w:rPr>
        <w:t>come CDS. La Banca, nella convinzione di aver operato in questi anni:</w:t>
      </w:r>
    </w:p>
    <w:p w:rsidR="00B93474" w:rsidRDefault="00B93474" w:rsidP="00E15C25">
      <w:pPr>
        <w:pStyle w:val="Default"/>
        <w:numPr>
          <w:ilvl w:val="0"/>
          <w:numId w:val="43"/>
        </w:numPr>
        <w:spacing w:line="360" w:lineRule="auto"/>
        <w:jc w:val="both"/>
        <w:rPr>
          <w:rFonts w:ascii="Arial" w:hAnsi="Arial" w:cs="Arial"/>
        </w:rPr>
      </w:pPr>
      <w:r>
        <w:rPr>
          <w:rFonts w:ascii="Arial" w:hAnsi="Arial" w:cs="Arial"/>
        </w:rPr>
        <w:t>con totale trasparenza verso tutte le Autorità di vigilanza che hanno, a vari fini, esaminato l’operazione, alle quali sono state rese disponibili tutte le informazioni di cui la Banca disponeva;</w:t>
      </w:r>
    </w:p>
    <w:p w:rsidR="00B93474" w:rsidRDefault="00B93474" w:rsidP="00E15C25">
      <w:pPr>
        <w:pStyle w:val="Default"/>
        <w:numPr>
          <w:ilvl w:val="0"/>
          <w:numId w:val="43"/>
        </w:numPr>
        <w:spacing w:line="360" w:lineRule="auto"/>
        <w:jc w:val="both"/>
        <w:rPr>
          <w:rFonts w:ascii="Arial" w:hAnsi="Arial" w:cs="Arial"/>
        </w:rPr>
      </w:pPr>
      <w:r>
        <w:rPr>
          <w:rFonts w:ascii="Arial" w:hAnsi="Arial" w:cs="Arial"/>
        </w:rPr>
        <w:t>con massimo scrupolo professionale, come dimostrano i numerosi pareri conformi rilasciati da autorevoli esperti di principi contabili internazionali e le relazioni emesse dalla società di revisione;</w:t>
      </w:r>
    </w:p>
    <w:p w:rsidR="00B93474" w:rsidRDefault="00B93474" w:rsidP="00E15C25">
      <w:pPr>
        <w:pStyle w:val="Default"/>
        <w:numPr>
          <w:ilvl w:val="0"/>
          <w:numId w:val="43"/>
        </w:numPr>
        <w:spacing w:line="360" w:lineRule="auto"/>
        <w:jc w:val="both"/>
        <w:rPr>
          <w:rFonts w:ascii="Arial" w:hAnsi="Arial" w:cs="Arial"/>
        </w:rPr>
      </w:pPr>
      <w:r>
        <w:rPr>
          <w:rFonts w:ascii="Arial" w:hAnsi="Arial" w:cs="Arial"/>
        </w:rPr>
        <w:t xml:space="preserve">in definitiva, nel rispetto dei principi contabili internazionali, sulla base delle informazioni disponibili e secondo gli </w:t>
      </w:r>
      <w:r w:rsidRPr="007771A9">
        <w:rPr>
          <w:rFonts w:ascii="Arial" w:hAnsi="Arial" w:cs="Arial"/>
          <w:i/>
        </w:rPr>
        <w:t>standard</w:t>
      </w:r>
      <w:r>
        <w:rPr>
          <w:rFonts w:ascii="Arial" w:hAnsi="Arial" w:cs="Arial"/>
        </w:rPr>
        <w:t xml:space="preserve"> che presiedono alla corretta redazione dell’informativa contabile e finanziaria,</w:t>
      </w:r>
    </w:p>
    <w:p w:rsidR="00B93474" w:rsidRDefault="00B93474" w:rsidP="00E15C25">
      <w:pPr>
        <w:pStyle w:val="Default"/>
        <w:spacing w:line="360" w:lineRule="auto"/>
        <w:jc w:val="both"/>
        <w:rPr>
          <w:rFonts w:ascii="Arial" w:hAnsi="Arial" w:cs="Arial"/>
        </w:rPr>
      </w:pPr>
      <w:r>
        <w:rPr>
          <w:rFonts w:ascii="Arial" w:hAnsi="Arial" w:cs="Arial"/>
        </w:rPr>
        <w:t>prende atto d</w:t>
      </w:r>
      <w:r w:rsidR="006735EC">
        <w:rPr>
          <w:rFonts w:ascii="Arial" w:hAnsi="Arial" w:cs="Arial"/>
        </w:rPr>
        <w:t>ell’inte</w:t>
      </w:r>
      <w:r w:rsidR="008E79A9">
        <w:rPr>
          <w:rFonts w:ascii="Arial" w:hAnsi="Arial" w:cs="Arial"/>
        </w:rPr>
        <w:t>r</w:t>
      </w:r>
      <w:r w:rsidR="006735EC">
        <w:rPr>
          <w:rFonts w:ascii="Arial" w:hAnsi="Arial" w:cs="Arial"/>
        </w:rPr>
        <w:t>pretazione di</w:t>
      </w:r>
      <w:r>
        <w:rPr>
          <w:rFonts w:ascii="Arial" w:hAnsi="Arial" w:cs="Arial"/>
        </w:rPr>
        <w:t xml:space="preserve"> tali nuovi elementi di valutazione e delle conclusioni di </w:t>
      </w:r>
      <w:proofErr w:type="spellStart"/>
      <w:r w:rsidR="00E15C25">
        <w:rPr>
          <w:rFonts w:ascii="Arial" w:hAnsi="Arial" w:cs="Arial"/>
        </w:rPr>
        <w:t>Consob</w:t>
      </w:r>
      <w:proofErr w:type="spellEnd"/>
      <w:r>
        <w:rPr>
          <w:rFonts w:ascii="Arial" w:hAnsi="Arial" w:cs="Arial"/>
        </w:rPr>
        <w:t>. In particolare, prende atto che l’accertamento di non conformità ai principi contabili internazionali si basa</w:t>
      </w:r>
      <w:r w:rsidR="006735EC">
        <w:rPr>
          <w:rFonts w:ascii="Arial" w:hAnsi="Arial" w:cs="Arial"/>
        </w:rPr>
        <w:t xml:space="preserve"> appunto</w:t>
      </w:r>
      <w:r>
        <w:rPr>
          <w:rFonts w:ascii="Arial" w:hAnsi="Arial" w:cs="Arial"/>
        </w:rPr>
        <w:t xml:space="preserve"> sull’interpretazione di un elemento soggettivo (effettiva volontà negoziale del </w:t>
      </w:r>
      <w:r w:rsidRPr="007771A9">
        <w:rPr>
          <w:rFonts w:ascii="Arial" w:hAnsi="Arial" w:cs="Arial"/>
          <w:i/>
        </w:rPr>
        <w:t>management pro tempore</w:t>
      </w:r>
      <w:r>
        <w:rPr>
          <w:rFonts w:ascii="Arial" w:hAnsi="Arial" w:cs="Arial"/>
        </w:rPr>
        <w:t xml:space="preserve"> di BMPS e </w:t>
      </w:r>
      <w:proofErr w:type="spellStart"/>
      <w:r>
        <w:rPr>
          <w:rFonts w:ascii="Arial" w:hAnsi="Arial" w:cs="Arial"/>
        </w:rPr>
        <w:t>Nomura</w:t>
      </w:r>
      <w:proofErr w:type="spellEnd"/>
      <w:r>
        <w:rPr>
          <w:rFonts w:ascii="Arial" w:hAnsi="Arial" w:cs="Arial"/>
        </w:rPr>
        <w:t>), desunto dalle evidenze agli atti delle indagini condotte dalla Procura della Repubblica di Milano e che la Commissione ritiene prevalente rispetto alla diversa volontà negoziale che emerge dai contratti stipulati e da altri documenti sulla base dei quali sono state redatte le situazioni economiche, patrimoniali e finanziarie della Banca a decorrere dal 31 dicembre 2012.</w:t>
      </w:r>
    </w:p>
    <w:p w:rsidR="00B93474" w:rsidRDefault="00B93474" w:rsidP="00E15C25">
      <w:pPr>
        <w:pStyle w:val="Default"/>
        <w:spacing w:line="360" w:lineRule="auto"/>
        <w:jc w:val="both"/>
        <w:rPr>
          <w:rFonts w:ascii="Arial" w:hAnsi="Arial" w:cs="Arial"/>
        </w:rPr>
      </w:pPr>
      <w:r>
        <w:rPr>
          <w:rFonts w:ascii="Arial" w:hAnsi="Arial" w:cs="Arial"/>
        </w:rPr>
        <w:t>Tanto premesso e poiché:</w:t>
      </w:r>
    </w:p>
    <w:p w:rsidR="00B93474" w:rsidRDefault="00B93474" w:rsidP="00E15C25">
      <w:pPr>
        <w:pStyle w:val="Default"/>
        <w:numPr>
          <w:ilvl w:val="0"/>
          <w:numId w:val="44"/>
        </w:numPr>
        <w:spacing w:line="360" w:lineRule="auto"/>
        <w:jc w:val="both"/>
        <w:rPr>
          <w:rFonts w:ascii="Arial" w:hAnsi="Arial" w:cs="Arial"/>
        </w:rPr>
      </w:pPr>
      <w:r>
        <w:rPr>
          <w:rFonts w:ascii="Arial" w:hAnsi="Arial" w:cs="Arial"/>
        </w:rPr>
        <w:t xml:space="preserve">la Banca non dispone di </w:t>
      </w:r>
      <w:r w:rsidR="00C61160">
        <w:rPr>
          <w:rFonts w:ascii="Arial" w:hAnsi="Arial" w:cs="Arial"/>
        </w:rPr>
        <w:t xml:space="preserve">sufficienti ed univoci </w:t>
      </w:r>
      <w:r>
        <w:rPr>
          <w:rFonts w:ascii="Arial" w:hAnsi="Arial" w:cs="Arial"/>
        </w:rPr>
        <w:t>elementi per smentire</w:t>
      </w:r>
      <w:r w:rsidR="00AF2A46">
        <w:rPr>
          <w:rFonts w:ascii="Arial" w:hAnsi="Arial" w:cs="Arial"/>
        </w:rPr>
        <w:t xml:space="preserve"> ovvero</w:t>
      </w:r>
      <w:r>
        <w:rPr>
          <w:rFonts w:ascii="Arial" w:hAnsi="Arial" w:cs="Arial"/>
        </w:rPr>
        <w:t xml:space="preserve"> per confermare la ricostruzione e l’interpretazione della volontà del </w:t>
      </w:r>
      <w:proofErr w:type="spellStart"/>
      <w:r w:rsidRPr="007771A9">
        <w:rPr>
          <w:rFonts w:ascii="Arial" w:hAnsi="Arial" w:cs="Arial"/>
          <w:i/>
        </w:rPr>
        <w:t>managemet</w:t>
      </w:r>
      <w:proofErr w:type="spellEnd"/>
      <w:r w:rsidRPr="007771A9">
        <w:rPr>
          <w:rFonts w:ascii="Arial" w:hAnsi="Arial" w:cs="Arial"/>
          <w:i/>
        </w:rPr>
        <w:t xml:space="preserve"> pro </w:t>
      </w:r>
      <w:r w:rsidRPr="007771A9">
        <w:rPr>
          <w:rFonts w:ascii="Arial" w:hAnsi="Arial" w:cs="Arial"/>
          <w:i/>
        </w:rPr>
        <w:lastRenderedPageBreak/>
        <w:t>tempore</w:t>
      </w:r>
      <w:r>
        <w:rPr>
          <w:rFonts w:ascii="Arial" w:hAnsi="Arial" w:cs="Arial"/>
        </w:rPr>
        <w:t xml:space="preserve"> di BMPS e di </w:t>
      </w:r>
      <w:proofErr w:type="spellStart"/>
      <w:r>
        <w:rPr>
          <w:rFonts w:ascii="Arial" w:hAnsi="Arial" w:cs="Arial"/>
        </w:rPr>
        <w:t>Nomura</w:t>
      </w:r>
      <w:proofErr w:type="spellEnd"/>
      <w:r>
        <w:rPr>
          <w:rFonts w:ascii="Arial" w:hAnsi="Arial" w:cs="Arial"/>
        </w:rPr>
        <w:t xml:space="preserve">, operate dalla </w:t>
      </w:r>
      <w:proofErr w:type="spellStart"/>
      <w:r w:rsidR="00E15C25">
        <w:rPr>
          <w:rFonts w:ascii="Arial" w:hAnsi="Arial" w:cs="Arial"/>
        </w:rPr>
        <w:t>Consob</w:t>
      </w:r>
      <w:proofErr w:type="spellEnd"/>
      <w:r>
        <w:rPr>
          <w:rFonts w:ascii="Arial" w:hAnsi="Arial" w:cs="Arial"/>
        </w:rPr>
        <w:t xml:space="preserve"> sulla base delle risultanze emerse dalle indagini della Procura della Repubblica di Milano;</w:t>
      </w:r>
    </w:p>
    <w:p w:rsidR="00B93474" w:rsidRDefault="00B93474" w:rsidP="00E15C25">
      <w:pPr>
        <w:pStyle w:val="Default"/>
        <w:numPr>
          <w:ilvl w:val="0"/>
          <w:numId w:val="44"/>
        </w:numPr>
        <w:spacing w:line="360" w:lineRule="auto"/>
        <w:jc w:val="both"/>
        <w:rPr>
          <w:rFonts w:ascii="Arial" w:hAnsi="Arial" w:cs="Arial"/>
        </w:rPr>
      </w:pPr>
      <w:r>
        <w:rPr>
          <w:rFonts w:ascii="Arial" w:hAnsi="Arial" w:cs="Arial"/>
        </w:rPr>
        <w:t>il bilancio individuale e consolidato al 31 dicembre 2014 e la relazione finanziaria semestrale al 30 giugno 2015 non appa</w:t>
      </w:r>
      <w:r w:rsidR="009C3A45">
        <w:rPr>
          <w:rFonts w:ascii="Arial" w:hAnsi="Arial" w:cs="Arial"/>
        </w:rPr>
        <w:t>iono</w:t>
      </w:r>
      <w:r>
        <w:rPr>
          <w:rFonts w:ascii="Arial" w:hAnsi="Arial" w:cs="Arial"/>
        </w:rPr>
        <w:t xml:space="preserve"> censurabil</w:t>
      </w:r>
      <w:r w:rsidR="009C3A45">
        <w:rPr>
          <w:rFonts w:ascii="Arial" w:hAnsi="Arial" w:cs="Arial"/>
        </w:rPr>
        <w:t>i</w:t>
      </w:r>
      <w:r>
        <w:rPr>
          <w:rFonts w:ascii="Arial" w:hAnsi="Arial" w:cs="Arial"/>
        </w:rPr>
        <w:t xml:space="preserve"> – come di fatto non </w:t>
      </w:r>
      <w:r w:rsidR="009C3A45">
        <w:rPr>
          <w:rFonts w:ascii="Arial" w:hAnsi="Arial" w:cs="Arial"/>
        </w:rPr>
        <w:t>sono</w:t>
      </w:r>
      <w:r>
        <w:rPr>
          <w:rFonts w:ascii="Arial" w:hAnsi="Arial" w:cs="Arial"/>
        </w:rPr>
        <w:t xml:space="preserve"> stat</w:t>
      </w:r>
      <w:r w:rsidR="009C3A45">
        <w:rPr>
          <w:rFonts w:ascii="Arial" w:hAnsi="Arial" w:cs="Arial"/>
        </w:rPr>
        <w:t>i</w:t>
      </w:r>
      <w:r>
        <w:rPr>
          <w:rFonts w:ascii="Arial" w:hAnsi="Arial" w:cs="Arial"/>
        </w:rPr>
        <w:t xml:space="preserve"> censurat</w:t>
      </w:r>
      <w:r w:rsidR="009C3A45">
        <w:rPr>
          <w:rFonts w:ascii="Arial" w:hAnsi="Arial" w:cs="Arial"/>
        </w:rPr>
        <w:t>i</w:t>
      </w:r>
      <w:r>
        <w:rPr>
          <w:rFonts w:ascii="Arial" w:hAnsi="Arial" w:cs="Arial"/>
        </w:rPr>
        <w:t xml:space="preserve"> dall’Autorità di </w:t>
      </w:r>
      <w:r w:rsidR="00B05B2D">
        <w:rPr>
          <w:rFonts w:ascii="Arial" w:hAnsi="Arial" w:cs="Arial"/>
        </w:rPr>
        <w:t>V</w:t>
      </w:r>
      <w:r>
        <w:rPr>
          <w:rFonts w:ascii="Arial" w:hAnsi="Arial" w:cs="Arial"/>
        </w:rPr>
        <w:t>igilanza – sulla base degli elementi oggettivi all’epoca conosciuti e disponibili;</w:t>
      </w:r>
    </w:p>
    <w:p w:rsidR="00B93474" w:rsidRDefault="00B93474" w:rsidP="00E15C25">
      <w:pPr>
        <w:pStyle w:val="Default"/>
        <w:numPr>
          <w:ilvl w:val="0"/>
          <w:numId w:val="44"/>
        </w:numPr>
        <w:spacing w:line="360" w:lineRule="auto"/>
        <w:jc w:val="both"/>
        <w:rPr>
          <w:rFonts w:ascii="Arial" w:hAnsi="Arial" w:cs="Arial"/>
        </w:rPr>
      </w:pPr>
      <w:r>
        <w:rPr>
          <w:rFonts w:ascii="Arial" w:hAnsi="Arial" w:cs="Arial"/>
        </w:rPr>
        <w:t>l’operazione</w:t>
      </w:r>
      <w:r w:rsidR="00B05B2D">
        <w:rPr>
          <w:rFonts w:ascii="Arial" w:hAnsi="Arial" w:cs="Arial"/>
        </w:rPr>
        <w:t xml:space="preserve"> c.d. Alexandria</w:t>
      </w:r>
      <w:r>
        <w:rPr>
          <w:rFonts w:ascii="Arial" w:hAnsi="Arial" w:cs="Arial"/>
        </w:rPr>
        <w:t xml:space="preserve"> è stata chiusa il 23 settembre 2015 e, p</w:t>
      </w:r>
      <w:r w:rsidRPr="00675B7A">
        <w:rPr>
          <w:rFonts w:ascii="Arial" w:hAnsi="Arial" w:cs="Arial"/>
        </w:rPr>
        <w:t>ertanto, la rappresentazione contabile come CDS non produce effetti sulla situazione reddituale prospettica della Banca;</w:t>
      </w:r>
    </w:p>
    <w:p w:rsidR="00B93474" w:rsidRDefault="00B93474" w:rsidP="00E15C25">
      <w:pPr>
        <w:pStyle w:val="Default"/>
        <w:numPr>
          <w:ilvl w:val="0"/>
          <w:numId w:val="44"/>
        </w:numPr>
        <w:spacing w:line="360" w:lineRule="auto"/>
        <w:jc w:val="both"/>
        <w:rPr>
          <w:rFonts w:ascii="Arial" w:hAnsi="Arial" w:cs="Arial"/>
        </w:rPr>
      </w:pPr>
      <w:r>
        <w:rPr>
          <w:rFonts w:ascii="Arial" w:hAnsi="Arial" w:cs="Arial"/>
        </w:rPr>
        <w:t>sulla base delle considerazioni che precedono, la Banca non reputa</w:t>
      </w:r>
      <w:r w:rsidR="00C61160">
        <w:rPr>
          <w:rFonts w:ascii="Arial" w:hAnsi="Arial" w:cs="Arial"/>
        </w:rPr>
        <w:t xml:space="preserve"> n</w:t>
      </w:r>
      <w:r w:rsidR="005A32E9">
        <w:rPr>
          <w:rFonts w:ascii="Arial" w:hAnsi="Arial" w:cs="Arial"/>
        </w:rPr>
        <w:t>é</w:t>
      </w:r>
      <w:r>
        <w:rPr>
          <w:rFonts w:ascii="Arial" w:hAnsi="Arial" w:cs="Arial"/>
        </w:rPr>
        <w:t xml:space="preserve"> coerente</w:t>
      </w:r>
      <w:r w:rsidR="00C61160">
        <w:rPr>
          <w:rFonts w:ascii="Arial" w:hAnsi="Arial" w:cs="Arial"/>
        </w:rPr>
        <w:t xml:space="preserve"> né utile per il perseguimento</w:t>
      </w:r>
      <w:r>
        <w:rPr>
          <w:rFonts w:ascii="Arial" w:hAnsi="Arial" w:cs="Arial"/>
        </w:rPr>
        <w:t xml:space="preserve"> </w:t>
      </w:r>
      <w:r w:rsidR="00C61160">
        <w:rPr>
          <w:rFonts w:ascii="Arial" w:hAnsi="Arial" w:cs="Arial"/>
        </w:rPr>
        <w:t>de</w:t>
      </w:r>
      <w:r>
        <w:rPr>
          <w:rFonts w:ascii="Arial" w:hAnsi="Arial" w:cs="Arial"/>
        </w:rPr>
        <w:t xml:space="preserve">gli interessi propri e degli </w:t>
      </w:r>
      <w:r w:rsidRPr="007771A9">
        <w:rPr>
          <w:rFonts w:ascii="Arial" w:hAnsi="Arial" w:cs="Arial"/>
          <w:i/>
        </w:rPr>
        <w:t>stakeholder</w:t>
      </w:r>
      <w:r>
        <w:rPr>
          <w:rFonts w:ascii="Arial" w:hAnsi="Arial" w:cs="Arial"/>
        </w:rPr>
        <w:t xml:space="preserve"> in genere  impugna</w:t>
      </w:r>
      <w:r w:rsidR="005A32E9">
        <w:rPr>
          <w:rFonts w:ascii="Arial" w:hAnsi="Arial" w:cs="Arial"/>
        </w:rPr>
        <w:t>re</w:t>
      </w:r>
      <w:r w:rsidR="006525B3">
        <w:rPr>
          <w:rFonts w:ascii="Arial" w:hAnsi="Arial" w:cs="Arial"/>
        </w:rPr>
        <w:t xml:space="preserve"> </w:t>
      </w:r>
      <w:r w:rsidR="005A32E9">
        <w:rPr>
          <w:rFonts w:ascii="Arial" w:hAnsi="Arial" w:cs="Arial"/>
        </w:rPr>
        <w:t>il</w:t>
      </w:r>
      <w:r>
        <w:rPr>
          <w:rFonts w:ascii="Arial" w:hAnsi="Arial" w:cs="Arial"/>
        </w:rPr>
        <w:t xml:space="preserve"> provvedimento emesso dalla </w:t>
      </w:r>
      <w:proofErr w:type="spellStart"/>
      <w:r w:rsidR="00E15C25">
        <w:rPr>
          <w:rFonts w:ascii="Arial" w:hAnsi="Arial" w:cs="Arial"/>
        </w:rPr>
        <w:t>Consob</w:t>
      </w:r>
      <w:proofErr w:type="spellEnd"/>
      <w:r w:rsidR="00C61160">
        <w:rPr>
          <w:rFonts w:ascii="Arial" w:hAnsi="Arial" w:cs="Arial"/>
        </w:rPr>
        <w:t xml:space="preserve"> in quanto, tra l’altro, afferente ad un</w:t>
      </w:r>
      <w:r w:rsidR="008C479E">
        <w:rPr>
          <w:rFonts w:ascii="Arial" w:hAnsi="Arial" w:cs="Arial"/>
        </w:rPr>
        <w:t>’</w:t>
      </w:r>
      <w:r w:rsidR="00C61160">
        <w:rPr>
          <w:rFonts w:ascii="Arial" w:hAnsi="Arial" w:cs="Arial"/>
        </w:rPr>
        <w:t>operazione ormai chiusa</w:t>
      </w:r>
      <w:r w:rsidR="009C3A45">
        <w:rPr>
          <w:rFonts w:ascii="Arial" w:hAnsi="Arial" w:cs="Arial"/>
        </w:rPr>
        <w:t>,</w:t>
      </w:r>
    </w:p>
    <w:p w:rsidR="00B93474" w:rsidRDefault="00B93474" w:rsidP="00E15C25">
      <w:pPr>
        <w:pStyle w:val="Default"/>
        <w:spacing w:line="360" w:lineRule="auto"/>
        <w:jc w:val="both"/>
        <w:rPr>
          <w:rFonts w:ascii="Arial" w:hAnsi="Arial" w:cs="Arial"/>
        </w:rPr>
      </w:pPr>
      <w:r>
        <w:rPr>
          <w:rFonts w:ascii="Arial" w:hAnsi="Arial" w:cs="Arial"/>
        </w:rPr>
        <w:t>BMPS informa che procederà a modificare nel bilancio 2015 e nelle successive rendicontazioni la rappresentazione contabile dell’operazione adeguandola a quella di un CDS secondo le regole previste dallo IAS 8.</w:t>
      </w:r>
    </w:p>
    <w:p w:rsidR="002B378B" w:rsidRDefault="007630CB" w:rsidP="002B378B">
      <w:pPr>
        <w:spacing w:line="360" w:lineRule="auto"/>
        <w:jc w:val="both"/>
        <w:rPr>
          <w:rFonts w:ascii="Arial" w:hAnsi="Arial" w:cs="Arial"/>
        </w:rPr>
      </w:pPr>
      <w:r>
        <w:rPr>
          <w:rFonts w:ascii="Arial" w:hAnsi="Arial" w:cs="Arial"/>
        </w:rPr>
        <w:t>Peraltro,</w:t>
      </w:r>
      <w:r w:rsidR="002B378B">
        <w:rPr>
          <w:rFonts w:ascii="Arial" w:hAnsi="Arial" w:cs="Arial"/>
        </w:rPr>
        <w:t xml:space="preserve"> nella prospettiva</w:t>
      </w:r>
      <w:r w:rsidR="002B378B" w:rsidRPr="00BA0800">
        <w:rPr>
          <w:rFonts w:ascii="Arial" w:hAnsi="Arial" w:cs="Arial"/>
        </w:rPr>
        <w:t xml:space="preserve"> di garantire un’adeguata informativa al pubblico in merito ai criteri</w:t>
      </w:r>
      <w:r w:rsidR="002B378B">
        <w:rPr>
          <w:rFonts w:ascii="Arial" w:hAnsi="Arial" w:cs="Arial"/>
        </w:rPr>
        <w:t xml:space="preserve"> </w:t>
      </w:r>
      <w:r w:rsidR="002B378B" w:rsidRPr="00BA0800">
        <w:rPr>
          <w:rFonts w:ascii="Arial" w:hAnsi="Arial" w:cs="Arial"/>
        </w:rPr>
        <w:t>di rappresentazione</w:t>
      </w:r>
      <w:r w:rsidR="002B378B">
        <w:rPr>
          <w:rFonts w:ascii="Arial" w:hAnsi="Arial" w:cs="Arial"/>
        </w:rPr>
        <w:t xml:space="preserve"> e</w:t>
      </w:r>
      <w:r w:rsidR="002B378B" w:rsidRPr="00BA0800">
        <w:rPr>
          <w:rFonts w:ascii="Arial" w:hAnsi="Arial" w:cs="Arial"/>
        </w:rPr>
        <w:t xml:space="preserve">, </w:t>
      </w:r>
      <w:r w:rsidR="002B378B">
        <w:rPr>
          <w:rFonts w:ascii="Arial" w:hAnsi="Arial" w:cs="Arial"/>
        </w:rPr>
        <w:t xml:space="preserve">in particolare, </w:t>
      </w:r>
      <w:r w:rsidR="002B378B" w:rsidRPr="00BA0800">
        <w:rPr>
          <w:rFonts w:ascii="Arial" w:hAnsi="Arial" w:cs="Arial"/>
        </w:rPr>
        <w:t>agli impatti</w:t>
      </w:r>
      <w:r w:rsidR="002B378B">
        <w:rPr>
          <w:rFonts w:ascii="Arial" w:hAnsi="Arial" w:cs="Arial"/>
        </w:rPr>
        <w:t xml:space="preserve"> </w:t>
      </w:r>
      <w:r w:rsidR="002B378B" w:rsidRPr="00BA0800">
        <w:rPr>
          <w:rFonts w:ascii="Arial" w:hAnsi="Arial" w:cs="Arial"/>
        </w:rPr>
        <w:t>sulla situazione economica, pa</w:t>
      </w:r>
      <w:r w:rsidR="002B378B">
        <w:rPr>
          <w:rFonts w:ascii="Arial" w:hAnsi="Arial" w:cs="Arial"/>
        </w:rPr>
        <w:t xml:space="preserve">trimoniale e finanziaria, nelle medesime rendicontazioni, oltre alle informazioni contenute nei prospetti contabili, </w:t>
      </w:r>
      <w:r w:rsidR="004452A8">
        <w:rPr>
          <w:rFonts w:ascii="Arial" w:hAnsi="Arial" w:cs="Arial"/>
        </w:rPr>
        <w:t xml:space="preserve">la Banca </w:t>
      </w:r>
      <w:r w:rsidR="002B378B">
        <w:rPr>
          <w:rFonts w:ascii="Arial" w:hAnsi="Arial" w:cs="Arial"/>
        </w:rPr>
        <w:t>inserirà anche appositi prospetti pro-forma finalizzati a dare evidenza</w:t>
      </w:r>
      <w:r w:rsidR="004452A8">
        <w:rPr>
          <w:rFonts w:ascii="Arial" w:hAnsi="Arial" w:cs="Arial"/>
        </w:rPr>
        <w:t>, in continuità con quanto fatto nelle rendicontazioni precedenti,</w:t>
      </w:r>
      <w:r w:rsidR="002B378B" w:rsidRPr="00BA0800">
        <w:rPr>
          <w:rFonts w:ascii="Arial" w:hAnsi="Arial" w:cs="Arial"/>
        </w:rPr>
        <w:t xml:space="preserve"> </w:t>
      </w:r>
      <w:r w:rsidR="002B378B">
        <w:rPr>
          <w:rFonts w:ascii="Arial" w:hAnsi="Arial" w:cs="Arial"/>
        </w:rPr>
        <w:t>de</w:t>
      </w:r>
      <w:r w:rsidR="002B378B" w:rsidRPr="00BA0800">
        <w:rPr>
          <w:rFonts w:ascii="Arial" w:hAnsi="Arial" w:cs="Arial"/>
        </w:rPr>
        <w:t xml:space="preserve">gli impatti </w:t>
      </w:r>
      <w:r w:rsidR="002B378B">
        <w:rPr>
          <w:rFonts w:ascii="Arial" w:hAnsi="Arial" w:cs="Arial"/>
        </w:rPr>
        <w:t>economici e patrimoniali dell’operazione</w:t>
      </w:r>
      <w:r w:rsidR="008C479E">
        <w:rPr>
          <w:rFonts w:ascii="Arial" w:hAnsi="Arial" w:cs="Arial"/>
        </w:rPr>
        <w:t xml:space="preserve"> c.d.</w:t>
      </w:r>
      <w:r w:rsidR="002B378B">
        <w:rPr>
          <w:rFonts w:ascii="Arial" w:hAnsi="Arial" w:cs="Arial"/>
        </w:rPr>
        <w:t xml:space="preserve"> Alexandria derivanti dalla sua rappresentazione contabile “a saldi aperti”.</w:t>
      </w:r>
    </w:p>
    <w:p w:rsidR="00F7488B" w:rsidRDefault="00F7488B" w:rsidP="00E15C25">
      <w:pPr>
        <w:pStyle w:val="Default"/>
        <w:spacing w:line="360" w:lineRule="auto"/>
        <w:jc w:val="both"/>
        <w:rPr>
          <w:rFonts w:ascii="Arial" w:hAnsi="Arial" w:cs="Arial"/>
        </w:rPr>
      </w:pPr>
    </w:p>
    <w:p w:rsidR="00B93474" w:rsidRDefault="00B93474" w:rsidP="00E15C25">
      <w:pPr>
        <w:pStyle w:val="Default"/>
        <w:spacing w:line="360" w:lineRule="auto"/>
        <w:jc w:val="both"/>
        <w:rPr>
          <w:rFonts w:ascii="Arial" w:hAnsi="Arial" w:cs="Arial"/>
        </w:rPr>
      </w:pPr>
    </w:p>
    <w:p w:rsidR="00B93474" w:rsidRPr="00EF588D" w:rsidRDefault="00B93474" w:rsidP="00C87DC8">
      <w:pPr>
        <w:pStyle w:val="Default"/>
        <w:spacing w:line="360" w:lineRule="auto"/>
        <w:jc w:val="center"/>
        <w:rPr>
          <w:rFonts w:ascii="Arial" w:hAnsi="Arial" w:cs="Arial"/>
        </w:rPr>
      </w:pPr>
      <w:r w:rsidRPr="00EF588D">
        <w:rPr>
          <w:rFonts w:ascii="Arial" w:hAnsi="Arial" w:cs="Arial"/>
        </w:rPr>
        <w:t>* * *</w:t>
      </w:r>
    </w:p>
    <w:p w:rsidR="00B93474" w:rsidRDefault="00B93474" w:rsidP="00E15C25">
      <w:pPr>
        <w:pStyle w:val="Default"/>
        <w:spacing w:line="360" w:lineRule="auto"/>
        <w:jc w:val="both"/>
        <w:rPr>
          <w:rFonts w:ascii="Arial" w:hAnsi="Arial" w:cs="Arial"/>
        </w:rPr>
      </w:pPr>
    </w:p>
    <w:p w:rsidR="00B93474" w:rsidRDefault="00B93474" w:rsidP="00E15C25">
      <w:pPr>
        <w:pStyle w:val="Default"/>
        <w:spacing w:line="360" w:lineRule="auto"/>
        <w:jc w:val="both"/>
        <w:rPr>
          <w:rFonts w:ascii="Arial" w:hAnsi="Arial" w:cs="Arial"/>
        </w:rPr>
      </w:pPr>
      <w:r>
        <w:rPr>
          <w:rFonts w:ascii="Arial" w:hAnsi="Arial" w:cs="Arial"/>
        </w:rPr>
        <w:t>Il</w:t>
      </w:r>
      <w:r w:rsidRPr="00EF588D">
        <w:rPr>
          <w:rFonts w:ascii="Arial" w:hAnsi="Arial" w:cs="Arial"/>
        </w:rPr>
        <w:t xml:space="preserve"> sottos</w:t>
      </w:r>
      <w:r>
        <w:rPr>
          <w:rFonts w:ascii="Arial" w:hAnsi="Arial" w:cs="Arial"/>
        </w:rPr>
        <w:t>critto</w:t>
      </w:r>
      <w:r w:rsidRPr="00EF588D">
        <w:rPr>
          <w:rFonts w:ascii="Arial" w:hAnsi="Arial" w:cs="Arial"/>
        </w:rPr>
        <w:t xml:space="preserve"> Dott.</w:t>
      </w:r>
      <w:r>
        <w:rPr>
          <w:rFonts w:ascii="Arial" w:hAnsi="Arial" w:cs="Arial"/>
        </w:rPr>
        <w:t xml:space="preserve"> Arturo </w:t>
      </w:r>
      <w:proofErr w:type="spellStart"/>
      <w:r>
        <w:rPr>
          <w:rFonts w:ascii="Arial" w:hAnsi="Arial" w:cs="Arial"/>
        </w:rPr>
        <w:t>Betunio</w:t>
      </w:r>
      <w:proofErr w:type="spellEnd"/>
      <w:r w:rsidRPr="00EF588D">
        <w:rPr>
          <w:rFonts w:ascii="Arial" w:hAnsi="Arial" w:cs="Arial"/>
        </w:rPr>
        <w:t>, in qualità di Dirigente preposto alla redazione dei documenti contabili societari di B</w:t>
      </w:r>
      <w:r>
        <w:rPr>
          <w:rFonts w:ascii="Arial" w:hAnsi="Arial" w:cs="Arial"/>
        </w:rPr>
        <w:t>MPS</w:t>
      </w:r>
      <w:r w:rsidRPr="00EF588D">
        <w:rPr>
          <w:rFonts w:ascii="Arial" w:hAnsi="Arial" w:cs="Arial"/>
        </w:rPr>
        <w:t xml:space="preserve">, </w:t>
      </w:r>
      <w:r w:rsidR="00012D99">
        <w:rPr>
          <w:rFonts w:ascii="Arial" w:hAnsi="Arial" w:cs="Arial"/>
        </w:rPr>
        <w:t>dichiara</w:t>
      </w:r>
      <w:r w:rsidRPr="00EF588D">
        <w:rPr>
          <w:rFonts w:ascii="Arial" w:hAnsi="Arial" w:cs="Arial"/>
        </w:rPr>
        <w:t>, ai sensi dell’art. 154-bis, comma 2, del T</w:t>
      </w:r>
      <w:r>
        <w:rPr>
          <w:rFonts w:ascii="Arial" w:hAnsi="Arial" w:cs="Arial"/>
        </w:rPr>
        <w:t>UF</w:t>
      </w:r>
      <w:r w:rsidR="00A35D8D">
        <w:rPr>
          <w:rFonts w:ascii="Arial" w:hAnsi="Arial" w:cs="Arial"/>
        </w:rPr>
        <w:t>,</w:t>
      </w:r>
      <w:r w:rsidRPr="00EF588D">
        <w:rPr>
          <w:rFonts w:ascii="Arial" w:hAnsi="Arial" w:cs="Arial"/>
        </w:rPr>
        <w:t xml:space="preserve"> che l’informativa contabile contenuta nel presente Comunicato Stampa, diversa d</w:t>
      </w:r>
      <w:r w:rsidR="009C3A45">
        <w:rPr>
          <w:rFonts w:ascii="Arial" w:hAnsi="Arial" w:cs="Arial"/>
        </w:rPr>
        <w:t>a</w:t>
      </w:r>
      <w:r w:rsidRPr="00EF588D">
        <w:rPr>
          <w:rFonts w:ascii="Arial" w:hAnsi="Arial" w:cs="Arial"/>
        </w:rPr>
        <w:t>i dati pro-forma</w:t>
      </w:r>
      <w:r w:rsidR="005A21AF">
        <w:rPr>
          <w:rFonts w:ascii="Arial" w:hAnsi="Arial" w:cs="Arial"/>
        </w:rPr>
        <w:t xml:space="preserve"> e dalla stima de</w:t>
      </w:r>
      <w:r w:rsidR="00127E0B">
        <w:rPr>
          <w:rFonts w:ascii="Arial" w:hAnsi="Arial" w:cs="Arial"/>
        </w:rPr>
        <w:t xml:space="preserve">gli </w:t>
      </w:r>
      <w:r w:rsidR="005A21AF">
        <w:rPr>
          <w:rFonts w:ascii="Arial" w:hAnsi="Arial" w:cs="Arial"/>
        </w:rPr>
        <w:t>impatt</w:t>
      </w:r>
      <w:r w:rsidR="00127E0B">
        <w:rPr>
          <w:rFonts w:ascii="Arial" w:hAnsi="Arial" w:cs="Arial"/>
        </w:rPr>
        <w:t xml:space="preserve">i economici </w:t>
      </w:r>
      <w:r w:rsidR="006525B3">
        <w:rPr>
          <w:rFonts w:ascii="Arial" w:hAnsi="Arial" w:cs="Arial"/>
        </w:rPr>
        <w:t xml:space="preserve">differenziali rispetto alla rappresentazione a saldi aperti </w:t>
      </w:r>
      <w:r w:rsidR="00127E0B">
        <w:rPr>
          <w:rFonts w:ascii="Arial" w:hAnsi="Arial" w:cs="Arial"/>
        </w:rPr>
        <w:t>sugli esercizi dal 2009 al 2015</w:t>
      </w:r>
      <w:r w:rsidR="005A21AF">
        <w:rPr>
          <w:rFonts w:ascii="Arial" w:hAnsi="Arial" w:cs="Arial"/>
        </w:rPr>
        <w:t xml:space="preserve"> derivant</w:t>
      </w:r>
      <w:r w:rsidR="00127E0B">
        <w:rPr>
          <w:rFonts w:ascii="Arial" w:hAnsi="Arial" w:cs="Arial"/>
        </w:rPr>
        <w:t>i</w:t>
      </w:r>
      <w:r w:rsidR="005A21AF">
        <w:rPr>
          <w:rFonts w:ascii="Arial" w:hAnsi="Arial" w:cs="Arial"/>
        </w:rPr>
        <w:t xml:space="preserve"> dalla </w:t>
      </w:r>
      <w:r w:rsidR="005A21AF">
        <w:rPr>
          <w:rFonts w:ascii="Arial" w:hAnsi="Arial" w:cs="Arial"/>
        </w:rPr>
        <w:lastRenderedPageBreak/>
        <w:t>rappresentazione</w:t>
      </w:r>
      <w:r w:rsidR="0011250A">
        <w:rPr>
          <w:rFonts w:ascii="Arial" w:hAnsi="Arial" w:cs="Arial"/>
        </w:rPr>
        <w:t xml:space="preserve"> come derivato</w:t>
      </w:r>
      <w:r w:rsidR="005A21AF">
        <w:rPr>
          <w:rFonts w:ascii="Arial" w:hAnsi="Arial" w:cs="Arial"/>
        </w:rPr>
        <w:t xml:space="preserve"> dell</w:t>
      </w:r>
      <w:r w:rsidR="0011250A">
        <w:rPr>
          <w:rFonts w:ascii="Arial" w:hAnsi="Arial" w:cs="Arial"/>
        </w:rPr>
        <w:t>’</w:t>
      </w:r>
      <w:r w:rsidR="005A21AF">
        <w:rPr>
          <w:rFonts w:ascii="Arial" w:hAnsi="Arial" w:cs="Arial"/>
        </w:rPr>
        <w:t>operazione c.d. Alexandria</w:t>
      </w:r>
      <w:r w:rsidRPr="00EF588D">
        <w:rPr>
          <w:rFonts w:ascii="Arial" w:hAnsi="Arial" w:cs="Arial"/>
        </w:rPr>
        <w:t>, corrisponde all</w:t>
      </w:r>
      <w:r w:rsidR="009C3A45">
        <w:rPr>
          <w:rFonts w:ascii="Arial" w:hAnsi="Arial" w:cs="Arial"/>
        </w:rPr>
        <w:t>e</w:t>
      </w:r>
      <w:r w:rsidRPr="00EF588D">
        <w:rPr>
          <w:rFonts w:ascii="Arial" w:hAnsi="Arial" w:cs="Arial"/>
        </w:rPr>
        <w:t xml:space="preserve"> risultanz</w:t>
      </w:r>
      <w:r w:rsidR="009C3A45">
        <w:rPr>
          <w:rFonts w:ascii="Arial" w:hAnsi="Arial" w:cs="Arial"/>
        </w:rPr>
        <w:t>e</w:t>
      </w:r>
      <w:r w:rsidRPr="00EF588D">
        <w:rPr>
          <w:rFonts w:ascii="Arial" w:hAnsi="Arial" w:cs="Arial"/>
        </w:rPr>
        <w:t xml:space="preserve"> documentali, ai libri e alle scritture contabili.</w:t>
      </w:r>
    </w:p>
    <w:p w:rsidR="00B93474" w:rsidRDefault="00B93474" w:rsidP="00E15C25">
      <w:pPr>
        <w:pStyle w:val="Default"/>
        <w:spacing w:line="360" w:lineRule="auto"/>
        <w:jc w:val="both"/>
        <w:rPr>
          <w:rFonts w:ascii="Arial" w:hAnsi="Arial" w:cs="Arial"/>
        </w:rPr>
      </w:pPr>
    </w:p>
    <w:p w:rsidR="00B93474" w:rsidRDefault="00B93474" w:rsidP="00E15C25">
      <w:pPr>
        <w:pStyle w:val="Default"/>
        <w:spacing w:line="360" w:lineRule="auto"/>
        <w:jc w:val="both"/>
        <w:rPr>
          <w:rFonts w:ascii="Arial" w:hAnsi="Arial" w:cs="Arial"/>
        </w:rPr>
      </w:pPr>
      <w:r w:rsidRPr="00EF588D">
        <w:rPr>
          <w:rFonts w:ascii="Arial" w:hAnsi="Arial" w:cs="Arial"/>
        </w:rPr>
        <w:t>ALLEGATI</w:t>
      </w:r>
    </w:p>
    <w:p w:rsidR="00B93474" w:rsidRDefault="00B93474" w:rsidP="00E15C25">
      <w:pPr>
        <w:pStyle w:val="Default"/>
        <w:numPr>
          <w:ilvl w:val="0"/>
          <w:numId w:val="22"/>
        </w:numPr>
        <w:spacing w:line="360" w:lineRule="auto"/>
        <w:jc w:val="both"/>
        <w:rPr>
          <w:rFonts w:ascii="Arial" w:hAnsi="Arial" w:cs="Arial"/>
        </w:rPr>
      </w:pPr>
      <w:r>
        <w:rPr>
          <w:rFonts w:ascii="Arial" w:hAnsi="Arial" w:cs="Arial"/>
        </w:rPr>
        <w:t>S</w:t>
      </w:r>
      <w:r w:rsidRPr="00EF588D">
        <w:rPr>
          <w:rFonts w:ascii="Arial" w:hAnsi="Arial" w:cs="Arial"/>
        </w:rPr>
        <w:t xml:space="preserve">ituazione economico-patrimoniale consolidata pro-forma – corredata dei dati comparativi – degli effetti </w:t>
      </w:r>
      <w:r>
        <w:rPr>
          <w:rFonts w:ascii="Arial" w:hAnsi="Arial" w:cs="Arial"/>
        </w:rPr>
        <w:t>che la rappresentazione contabile come CDS dell’operazione</w:t>
      </w:r>
      <w:r w:rsidR="008B1008">
        <w:rPr>
          <w:rFonts w:ascii="Arial" w:hAnsi="Arial" w:cs="Arial"/>
        </w:rPr>
        <w:t xml:space="preserve"> c.d.</w:t>
      </w:r>
      <w:r>
        <w:rPr>
          <w:rFonts w:ascii="Arial" w:hAnsi="Arial" w:cs="Arial"/>
        </w:rPr>
        <w:t xml:space="preserve"> Alexandria avrebbe</w:t>
      </w:r>
      <w:r w:rsidRPr="00EF588D">
        <w:rPr>
          <w:rFonts w:ascii="Arial" w:hAnsi="Arial" w:cs="Arial"/>
        </w:rPr>
        <w:t xml:space="preserve"> prodotto sulla situazione pa</w:t>
      </w:r>
      <w:r>
        <w:rPr>
          <w:rFonts w:ascii="Arial" w:hAnsi="Arial" w:cs="Arial"/>
        </w:rPr>
        <w:t>trimoniale, sul conto economico,</w:t>
      </w:r>
      <w:r w:rsidRPr="00EF588D">
        <w:rPr>
          <w:rFonts w:ascii="Arial" w:hAnsi="Arial" w:cs="Arial"/>
        </w:rPr>
        <w:t xml:space="preserve"> sul patrimon</w:t>
      </w:r>
      <w:r>
        <w:rPr>
          <w:rFonts w:ascii="Arial" w:hAnsi="Arial" w:cs="Arial"/>
        </w:rPr>
        <w:t>io netto e sulla redditività complessiva dell’esercizio 2014</w:t>
      </w:r>
      <w:r w:rsidRPr="00EF588D">
        <w:rPr>
          <w:rFonts w:ascii="Arial" w:hAnsi="Arial" w:cs="Arial"/>
        </w:rPr>
        <w:t>.</w:t>
      </w:r>
    </w:p>
    <w:p w:rsidR="00B93474" w:rsidRDefault="00B93474" w:rsidP="00E15C25">
      <w:pPr>
        <w:pStyle w:val="Default"/>
        <w:numPr>
          <w:ilvl w:val="0"/>
          <w:numId w:val="22"/>
        </w:numPr>
        <w:spacing w:line="360" w:lineRule="auto"/>
        <w:jc w:val="both"/>
        <w:rPr>
          <w:rFonts w:ascii="Arial" w:hAnsi="Arial" w:cs="Arial"/>
        </w:rPr>
      </w:pPr>
      <w:r>
        <w:rPr>
          <w:rFonts w:ascii="Arial" w:hAnsi="Arial" w:cs="Arial"/>
        </w:rPr>
        <w:t>Si</w:t>
      </w:r>
      <w:r w:rsidRPr="00E6079F">
        <w:rPr>
          <w:rFonts w:ascii="Arial" w:hAnsi="Arial" w:cs="Arial"/>
        </w:rPr>
        <w:t>tuazione economico-patrimoniale individuale pro-forma – corredata dei dati comparativi – degli effetti che la rappresentazione contabile come CDS dell’operazione</w:t>
      </w:r>
      <w:r w:rsidR="004A4DB1">
        <w:rPr>
          <w:rFonts w:ascii="Arial" w:hAnsi="Arial" w:cs="Arial"/>
        </w:rPr>
        <w:t xml:space="preserve"> c.d.</w:t>
      </w:r>
      <w:r w:rsidRPr="00E6079F">
        <w:rPr>
          <w:rFonts w:ascii="Arial" w:hAnsi="Arial" w:cs="Arial"/>
        </w:rPr>
        <w:t xml:space="preserve"> Alexandria avrebbe prodotto sulla situazione patrimoniale, sul conto economico, sul patrimonio netto e sulla redditività complessiva dell’esercizio 2014.</w:t>
      </w:r>
    </w:p>
    <w:p w:rsidR="00E17D08" w:rsidRPr="00E17D08" w:rsidRDefault="00B93474" w:rsidP="00E17D08">
      <w:pPr>
        <w:pStyle w:val="Default"/>
        <w:numPr>
          <w:ilvl w:val="0"/>
          <w:numId w:val="22"/>
        </w:numPr>
        <w:spacing w:line="360" w:lineRule="auto"/>
        <w:jc w:val="both"/>
        <w:rPr>
          <w:rFonts w:ascii="Arial" w:hAnsi="Arial" w:cs="Arial"/>
        </w:rPr>
      </w:pPr>
      <w:r>
        <w:rPr>
          <w:rFonts w:ascii="Arial" w:hAnsi="Arial" w:cs="Arial"/>
        </w:rPr>
        <w:t>S</w:t>
      </w:r>
      <w:r w:rsidRPr="00EF588D">
        <w:rPr>
          <w:rFonts w:ascii="Arial" w:hAnsi="Arial" w:cs="Arial"/>
        </w:rPr>
        <w:t xml:space="preserve">ituazione economico-patrimoniale consolidata pro-forma – corredata dei dati comparativi – </w:t>
      </w:r>
      <w:r w:rsidRPr="00E6079F">
        <w:rPr>
          <w:rFonts w:ascii="Arial" w:hAnsi="Arial" w:cs="Arial"/>
        </w:rPr>
        <w:t xml:space="preserve">degli effetti che la rappresentazione contabile come CDS dell’operazione </w:t>
      </w:r>
      <w:r w:rsidR="00D15BF1">
        <w:rPr>
          <w:rFonts w:ascii="Arial" w:hAnsi="Arial" w:cs="Arial"/>
        </w:rPr>
        <w:t xml:space="preserve">c.d. </w:t>
      </w:r>
      <w:r w:rsidRPr="00E6079F">
        <w:rPr>
          <w:rFonts w:ascii="Arial" w:hAnsi="Arial" w:cs="Arial"/>
        </w:rPr>
        <w:t xml:space="preserve">Alexandria avrebbe prodotto sulla situazione patrimoniale, sul conto economico, sul patrimonio netto e sulla redditività complessiva </w:t>
      </w:r>
      <w:r w:rsidRPr="00EF588D">
        <w:rPr>
          <w:rFonts w:ascii="Arial" w:hAnsi="Arial" w:cs="Arial"/>
        </w:rPr>
        <w:t>del primo semestre 201</w:t>
      </w:r>
      <w:r>
        <w:rPr>
          <w:rFonts w:ascii="Arial" w:hAnsi="Arial" w:cs="Arial"/>
        </w:rPr>
        <w:t>5</w:t>
      </w:r>
      <w:r w:rsidRPr="00EF588D">
        <w:rPr>
          <w:rFonts w:ascii="Arial" w:hAnsi="Arial" w:cs="Arial"/>
        </w:rPr>
        <w:t>.</w:t>
      </w:r>
    </w:p>
    <w:p w:rsidR="00E17D08" w:rsidRPr="00E17D08" w:rsidRDefault="00E17D08" w:rsidP="00E17D08">
      <w:pPr>
        <w:pStyle w:val="Default"/>
        <w:numPr>
          <w:ilvl w:val="0"/>
          <w:numId w:val="22"/>
        </w:numPr>
        <w:spacing w:line="360" w:lineRule="auto"/>
        <w:jc w:val="both"/>
        <w:rPr>
          <w:rFonts w:ascii="Arial" w:hAnsi="Arial" w:cs="Arial"/>
        </w:rPr>
      </w:pPr>
      <w:r>
        <w:rPr>
          <w:rFonts w:ascii="Arial" w:hAnsi="Arial" w:cs="Arial"/>
        </w:rPr>
        <w:t xml:space="preserve">Tabella impatti economici </w:t>
      </w:r>
      <w:r w:rsidR="006525B3">
        <w:rPr>
          <w:rFonts w:ascii="Arial" w:hAnsi="Arial" w:cs="Arial"/>
        </w:rPr>
        <w:t xml:space="preserve">differenziali </w:t>
      </w:r>
      <w:r>
        <w:rPr>
          <w:rFonts w:ascii="Arial" w:hAnsi="Arial" w:cs="Arial"/>
        </w:rPr>
        <w:t>stimati della rappresentazione contabile “a saldi chiusi” dell’operazione c.d. Alexandria.</w:t>
      </w:r>
    </w:p>
    <w:p w:rsidR="00B93474" w:rsidRDefault="00B93474" w:rsidP="00A66F3E">
      <w:pPr>
        <w:spacing w:line="276" w:lineRule="auto"/>
        <w:jc w:val="center"/>
        <w:rPr>
          <w:rFonts w:ascii="Arial" w:hAnsi="Arial" w:cs="Arial"/>
        </w:rPr>
      </w:pPr>
    </w:p>
    <w:p w:rsidR="00B93474" w:rsidRDefault="00B93474" w:rsidP="00A66F3E">
      <w:pPr>
        <w:spacing w:line="276" w:lineRule="auto"/>
        <w:jc w:val="center"/>
        <w:rPr>
          <w:rFonts w:ascii="Arial" w:hAnsi="Arial" w:cs="Arial"/>
        </w:rPr>
      </w:pPr>
    </w:p>
    <w:p w:rsidR="00B93474" w:rsidRPr="001A22DB" w:rsidRDefault="00B93474" w:rsidP="00A66F3E">
      <w:pPr>
        <w:spacing w:line="276" w:lineRule="auto"/>
        <w:jc w:val="center"/>
        <w:rPr>
          <w:rFonts w:ascii="Arial" w:hAnsi="Arial" w:cs="Arial"/>
        </w:rPr>
      </w:pPr>
    </w:p>
    <w:p w:rsidR="00B93474" w:rsidRPr="001A22DB" w:rsidRDefault="00B93474" w:rsidP="00A66F3E">
      <w:pPr>
        <w:spacing w:line="276" w:lineRule="auto"/>
        <w:jc w:val="center"/>
        <w:rPr>
          <w:rFonts w:ascii="Arial" w:hAnsi="Arial" w:cs="Arial"/>
          <w:i/>
        </w:rPr>
      </w:pPr>
      <w:r w:rsidRPr="001A22DB">
        <w:rPr>
          <w:rFonts w:ascii="Arial" w:hAnsi="Arial" w:cs="Arial"/>
          <w:i/>
        </w:rPr>
        <w:t xml:space="preserve">Il comunicato stampa sarà disponibile su </w:t>
      </w:r>
      <w:hyperlink r:id="rId9" w:history="1">
        <w:r w:rsidRPr="001A22DB">
          <w:rPr>
            <w:rStyle w:val="Collegamentoipertestuale"/>
            <w:rFonts w:ascii="Arial" w:hAnsi="Arial" w:cs="Arial"/>
            <w:i/>
          </w:rPr>
          <w:t>www.mps.it</w:t>
        </w:r>
      </w:hyperlink>
    </w:p>
    <w:p w:rsidR="00B93474" w:rsidRPr="001A22DB" w:rsidRDefault="00B93474" w:rsidP="00DD35E1">
      <w:pPr>
        <w:spacing w:line="276" w:lineRule="auto"/>
        <w:jc w:val="both"/>
        <w:rPr>
          <w:rFonts w:ascii="Arial" w:hAnsi="Arial" w:cs="Arial"/>
          <w:b/>
          <w:bCs/>
        </w:rPr>
      </w:pPr>
    </w:p>
    <w:p w:rsidR="00B93474" w:rsidRPr="001A22DB" w:rsidRDefault="00B93474" w:rsidP="00DD35E1">
      <w:pPr>
        <w:spacing w:line="276" w:lineRule="auto"/>
        <w:jc w:val="both"/>
        <w:rPr>
          <w:rFonts w:ascii="Arial" w:hAnsi="Arial" w:cs="Arial"/>
          <w:b/>
          <w:bCs/>
        </w:rPr>
      </w:pPr>
    </w:p>
    <w:p w:rsidR="00B93474" w:rsidRPr="001A22DB" w:rsidRDefault="002D7E93" w:rsidP="00DD35E1">
      <w:pPr>
        <w:spacing w:line="276" w:lineRule="auto"/>
        <w:jc w:val="both"/>
        <w:rPr>
          <w:rFonts w:ascii="Arial" w:hAnsi="Arial" w:cs="Arial"/>
          <w:b/>
          <w:bCs/>
        </w:rPr>
      </w:pPr>
      <w:r>
        <w:rPr>
          <w:rFonts w:ascii="Arial" w:hAnsi="Arial" w:cs="Arial"/>
          <w:b/>
          <w:bCs/>
        </w:rPr>
        <w:t xml:space="preserve"> Banca Monte dei Paschi di Siena S.p.A.</w:t>
      </w:r>
    </w:p>
    <w:p w:rsidR="00B93474" w:rsidRPr="001A22DB" w:rsidRDefault="00B93474" w:rsidP="00DD35E1">
      <w:pPr>
        <w:spacing w:line="276" w:lineRule="auto"/>
        <w:jc w:val="both"/>
        <w:rPr>
          <w:rFonts w:ascii="Arial" w:hAnsi="Arial" w:cs="Arial"/>
          <w:b/>
          <w:bCs/>
        </w:rPr>
      </w:pPr>
    </w:p>
    <w:tbl>
      <w:tblPr>
        <w:tblW w:w="0" w:type="auto"/>
        <w:tblLook w:val="00A0" w:firstRow="1" w:lastRow="0" w:firstColumn="1" w:lastColumn="0" w:noHBand="0" w:noVBand="0"/>
      </w:tblPr>
      <w:tblGrid>
        <w:gridCol w:w="4503"/>
        <w:gridCol w:w="1134"/>
        <w:gridCol w:w="4141"/>
      </w:tblGrid>
      <w:tr w:rsidR="00B93474" w:rsidRPr="00DD79E6" w:rsidTr="001B4D6D">
        <w:tc>
          <w:tcPr>
            <w:tcW w:w="4503" w:type="dxa"/>
          </w:tcPr>
          <w:p w:rsidR="00B93474" w:rsidRPr="001A22DB" w:rsidRDefault="002D7E93" w:rsidP="00DD79E6">
            <w:pPr>
              <w:spacing w:line="276" w:lineRule="auto"/>
              <w:jc w:val="both"/>
              <w:rPr>
                <w:rFonts w:ascii="Arial" w:hAnsi="Arial" w:cs="Arial"/>
                <w:b/>
                <w:bCs/>
              </w:rPr>
            </w:pPr>
            <w:r>
              <w:rPr>
                <w:rFonts w:ascii="Arial" w:hAnsi="Arial" w:cs="Arial"/>
                <w:b/>
                <w:bCs/>
              </w:rPr>
              <w:t>Media Relations</w:t>
            </w:r>
          </w:p>
        </w:tc>
        <w:tc>
          <w:tcPr>
            <w:tcW w:w="1134" w:type="dxa"/>
            <w:vAlign w:val="center"/>
          </w:tcPr>
          <w:p w:rsidR="00B93474" w:rsidRPr="001A22DB" w:rsidRDefault="00B93474">
            <w:pPr>
              <w:spacing w:line="276" w:lineRule="auto"/>
              <w:jc w:val="both"/>
              <w:rPr>
                <w:rFonts w:ascii="Arial" w:hAnsi="Arial" w:cs="Arial"/>
                <w:b/>
                <w:bCs/>
              </w:rPr>
            </w:pPr>
          </w:p>
        </w:tc>
        <w:tc>
          <w:tcPr>
            <w:tcW w:w="4141" w:type="dxa"/>
            <w:vAlign w:val="center"/>
          </w:tcPr>
          <w:p w:rsidR="00B93474" w:rsidRPr="00DD79E6" w:rsidRDefault="00126CCC" w:rsidP="00DD79E6">
            <w:pPr>
              <w:spacing w:line="276" w:lineRule="auto"/>
              <w:jc w:val="both"/>
              <w:rPr>
                <w:rFonts w:ascii="Arial" w:hAnsi="Arial" w:cs="Arial"/>
                <w:b/>
                <w:bCs/>
                <w:lang w:val="en-US"/>
              </w:rPr>
            </w:pPr>
            <w:r w:rsidRPr="00DD79E6">
              <w:rPr>
                <w:rFonts w:ascii="Arial" w:hAnsi="Arial" w:cs="Arial"/>
                <w:b/>
                <w:bCs/>
                <w:lang w:val="en-US"/>
              </w:rPr>
              <w:t>Investor Relations</w:t>
            </w:r>
            <w:r w:rsidR="00B93474" w:rsidRPr="00DD79E6">
              <w:rPr>
                <w:rFonts w:ascii="Arial" w:hAnsi="Arial" w:cs="Arial"/>
                <w:b/>
                <w:bCs/>
                <w:lang w:val="en-US"/>
              </w:rPr>
              <w:t xml:space="preserve"> </w:t>
            </w:r>
          </w:p>
        </w:tc>
      </w:tr>
      <w:tr w:rsidR="00B93474" w:rsidRPr="001A22DB" w:rsidTr="001B4D6D">
        <w:tc>
          <w:tcPr>
            <w:tcW w:w="4503" w:type="dxa"/>
            <w:vAlign w:val="center"/>
          </w:tcPr>
          <w:p w:rsidR="00B93474" w:rsidRPr="001A22DB" w:rsidRDefault="00B93474">
            <w:pPr>
              <w:spacing w:line="276" w:lineRule="auto"/>
              <w:jc w:val="both"/>
              <w:rPr>
                <w:rFonts w:ascii="Arial" w:hAnsi="Arial" w:cs="Arial"/>
                <w:b/>
                <w:bCs/>
              </w:rPr>
            </w:pPr>
            <w:proofErr w:type="spellStart"/>
            <w:r w:rsidRPr="001A22DB">
              <w:rPr>
                <w:rFonts w:ascii="Arial" w:hAnsi="Arial" w:cs="Arial"/>
                <w:bCs/>
              </w:rPr>
              <w:t>Tel</w:t>
            </w:r>
            <w:proofErr w:type="spellEnd"/>
            <w:r w:rsidRPr="001A22DB">
              <w:rPr>
                <w:rFonts w:ascii="Arial" w:hAnsi="Arial" w:cs="Arial"/>
                <w:bCs/>
              </w:rPr>
              <w:t xml:space="preserve">: </w:t>
            </w:r>
            <w:r w:rsidRPr="001A22DB">
              <w:rPr>
                <w:rFonts w:ascii="Arial" w:hAnsi="Arial" w:cs="Arial"/>
                <w:bCs/>
                <w:lang w:val="en-US"/>
              </w:rPr>
              <w:t>0577.296634</w:t>
            </w:r>
          </w:p>
        </w:tc>
        <w:tc>
          <w:tcPr>
            <w:tcW w:w="1134" w:type="dxa"/>
            <w:vAlign w:val="center"/>
          </w:tcPr>
          <w:p w:rsidR="00B93474" w:rsidRPr="001A22DB" w:rsidRDefault="00B93474">
            <w:pPr>
              <w:spacing w:line="276" w:lineRule="auto"/>
              <w:jc w:val="both"/>
              <w:rPr>
                <w:rFonts w:ascii="Arial" w:hAnsi="Arial" w:cs="Arial"/>
                <w:b/>
                <w:bCs/>
              </w:rPr>
            </w:pPr>
          </w:p>
        </w:tc>
        <w:tc>
          <w:tcPr>
            <w:tcW w:w="4141" w:type="dxa"/>
            <w:vAlign w:val="center"/>
          </w:tcPr>
          <w:p w:rsidR="00B93474" w:rsidRPr="001A22DB" w:rsidRDefault="00B93474">
            <w:pPr>
              <w:spacing w:line="276" w:lineRule="auto"/>
              <w:jc w:val="both"/>
              <w:rPr>
                <w:rFonts w:ascii="Arial" w:hAnsi="Arial" w:cs="Arial"/>
                <w:b/>
                <w:bCs/>
              </w:rPr>
            </w:pPr>
            <w:r w:rsidRPr="001A22DB">
              <w:rPr>
                <w:rFonts w:ascii="Arial" w:hAnsi="Arial" w:cs="Arial"/>
                <w:bCs/>
                <w:lang w:val="en-US"/>
              </w:rPr>
              <w:t>Tel: 0577.29</w:t>
            </w:r>
            <w:r>
              <w:rPr>
                <w:rFonts w:ascii="Arial" w:hAnsi="Arial" w:cs="Arial"/>
                <w:bCs/>
                <w:lang w:val="en-US"/>
              </w:rPr>
              <w:t>9350</w:t>
            </w:r>
          </w:p>
        </w:tc>
      </w:tr>
      <w:tr w:rsidR="00B93474" w:rsidRPr="001A22DB" w:rsidTr="001B4D6D">
        <w:tc>
          <w:tcPr>
            <w:tcW w:w="4503" w:type="dxa"/>
            <w:vAlign w:val="center"/>
          </w:tcPr>
          <w:p w:rsidR="00B93474" w:rsidRPr="001A22DB" w:rsidRDefault="00B90C72">
            <w:pPr>
              <w:spacing w:line="276" w:lineRule="auto"/>
              <w:jc w:val="both"/>
              <w:rPr>
                <w:rFonts w:ascii="Arial" w:hAnsi="Arial" w:cs="Arial"/>
                <w:b/>
                <w:bCs/>
              </w:rPr>
            </w:pPr>
            <w:hyperlink r:id="rId10" w:history="1">
              <w:r w:rsidR="00126CCC" w:rsidRPr="00DD79E6">
                <w:rPr>
                  <w:rStyle w:val="Collegamentoipertestuale"/>
                  <w:rFonts w:ascii="Arial" w:hAnsi="Arial" w:cs="Arial"/>
                  <w:i/>
                </w:rPr>
                <w:t>ufficio.stampa@mps.it</w:t>
              </w:r>
            </w:hyperlink>
            <w:r w:rsidR="00B93474" w:rsidRPr="001A22DB">
              <w:rPr>
                <w:rFonts w:ascii="Arial" w:hAnsi="Arial" w:cs="Arial"/>
              </w:rPr>
              <w:t xml:space="preserve"> </w:t>
            </w:r>
          </w:p>
        </w:tc>
        <w:tc>
          <w:tcPr>
            <w:tcW w:w="1134" w:type="dxa"/>
            <w:vAlign w:val="center"/>
          </w:tcPr>
          <w:p w:rsidR="00B93474" w:rsidRPr="001A22DB" w:rsidRDefault="00B93474">
            <w:pPr>
              <w:spacing w:line="276" w:lineRule="auto"/>
              <w:jc w:val="both"/>
              <w:rPr>
                <w:rFonts w:ascii="Arial" w:hAnsi="Arial" w:cs="Arial"/>
                <w:b/>
                <w:bCs/>
              </w:rPr>
            </w:pPr>
          </w:p>
        </w:tc>
        <w:tc>
          <w:tcPr>
            <w:tcW w:w="4141" w:type="dxa"/>
            <w:vAlign w:val="center"/>
          </w:tcPr>
          <w:p w:rsidR="00B93474" w:rsidRPr="001A22DB" w:rsidRDefault="00B90C72">
            <w:pPr>
              <w:spacing w:line="276" w:lineRule="auto"/>
              <w:jc w:val="both"/>
              <w:rPr>
                <w:rFonts w:ascii="Arial" w:hAnsi="Arial" w:cs="Arial"/>
                <w:b/>
                <w:bCs/>
              </w:rPr>
            </w:pPr>
            <w:hyperlink r:id="rId11" w:history="1">
              <w:r w:rsidR="00126CCC" w:rsidRPr="00DD79E6">
                <w:rPr>
                  <w:rStyle w:val="Collegamentoipertestuale"/>
                  <w:rFonts w:ascii="Arial" w:hAnsi="Arial" w:cs="Arial"/>
                  <w:i/>
                </w:rPr>
                <w:t>investor.relations@mps.it</w:t>
              </w:r>
            </w:hyperlink>
          </w:p>
        </w:tc>
      </w:tr>
    </w:tbl>
    <w:p w:rsidR="00B93474" w:rsidRPr="001A22DB" w:rsidRDefault="00B93474" w:rsidP="00DD35E1">
      <w:pPr>
        <w:pStyle w:val="Corpotesto"/>
        <w:spacing w:line="276" w:lineRule="auto"/>
        <w:jc w:val="both"/>
        <w:rPr>
          <w:rFonts w:ascii="Arial" w:hAnsi="Arial" w:cs="Arial"/>
          <w:bCs/>
          <w:i/>
          <w:sz w:val="24"/>
        </w:rPr>
      </w:pPr>
    </w:p>
    <w:p w:rsidR="00B93474" w:rsidRPr="001A22DB" w:rsidRDefault="00B93474" w:rsidP="00DD35E1">
      <w:pPr>
        <w:pStyle w:val="Corpotesto"/>
        <w:spacing w:line="276" w:lineRule="auto"/>
        <w:jc w:val="both"/>
        <w:rPr>
          <w:rFonts w:ascii="Arial" w:hAnsi="Arial" w:cs="Arial"/>
          <w:sz w:val="24"/>
        </w:rPr>
      </w:pPr>
      <w:r w:rsidRPr="001A22DB">
        <w:rPr>
          <w:rFonts w:ascii="Arial" w:hAnsi="Arial" w:cs="Arial"/>
          <w:bCs/>
          <w:i/>
          <w:sz w:val="24"/>
        </w:rPr>
        <w:tab/>
      </w:r>
    </w:p>
    <w:p w:rsidR="00B93474" w:rsidRDefault="00B93474">
      <w:pPr>
        <w:rPr>
          <w:rFonts w:ascii="Arial" w:hAnsi="Arial" w:cs="Arial"/>
          <w:b/>
          <w:bCs/>
          <w:color w:val="000000"/>
        </w:rPr>
      </w:pPr>
      <w:r>
        <w:rPr>
          <w:rFonts w:ascii="Arial" w:hAnsi="Arial" w:cs="Arial"/>
          <w:b/>
          <w:bCs/>
          <w:color w:val="000000"/>
        </w:rPr>
        <w:br w:type="page"/>
      </w:r>
    </w:p>
    <w:p w:rsidR="00B93474" w:rsidRDefault="00B93474" w:rsidP="00DD35E1">
      <w:pPr>
        <w:spacing w:line="276" w:lineRule="auto"/>
        <w:jc w:val="both"/>
        <w:rPr>
          <w:rFonts w:ascii="Arial" w:hAnsi="Arial" w:cs="Arial"/>
          <w:b/>
          <w:bCs/>
          <w:color w:val="000000"/>
        </w:rPr>
      </w:pPr>
    </w:p>
    <w:p w:rsidR="00B93474" w:rsidRDefault="00B93474" w:rsidP="00DD35E1">
      <w:pPr>
        <w:spacing w:line="276" w:lineRule="auto"/>
        <w:jc w:val="both"/>
        <w:rPr>
          <w:rFonts w:ascii="Arial" w:hAnsi="Arial" w:cs="Arial"/>
          <w:b/>
          <w:bCs/>
          <w:color w:val="000000"/>
        </w:rPr>
      </w:pPr>
    </w:p>
    <w:p w:rsidR="0022594F" w:rsidRDefault="0022594F" w:rsidP="0022594F">
      <w:pPr>
        <w:spacing w:line="276" w:lineRule="auto"/>
        <w:jc w:val="both"/>
        <w:rPr>
          <w:rFonts w:ascii="Arial" w:hAnsi="Arial" w:cs="Arial"/>
          <w:b/>
          <w:bCs/>
          <w:color w:val="000000"/>
        </w:rPr>
      </w:pPr>
      <w:r>
        <w:rPr>
          <w:rFonts w:ascii="Arial" w:hAnsi="Arial" w:cs="Arial"/>
          <w:b/>
          <w:bCs/>
          <w:color w:val="000000"/>
        </w:rPr>
        <w:t>ALLEGATO 1</w:t>
      </w:r>
    </w:p>
    <w:p w:rsidR="0022594F" w:rsidRDefault="0022594F" w:rsidP="0022594F">
      <w:pPr>
        <w:spacing w:line="276" w:lineRule="auto"/>
        <w:jc w:val="both"/>
        <w:rPr>
          <w:rFonts w:ascii="Arial" w:hAnsi="Arial" w:cs="Arial"/>
          <w:b/>
          <w:bCs/>
          <w:color w:val="000000"/>
        </w:rPr>
      </w:pPr>
    </w:p>
    <w:p w:rsidR="0022594F" w:rsidRDefault="0022594F" w:rsidP="0022594F">
      <w:pPr>
        <w:spacing w:line="276" w:lineRule="auto"/>
        <w:jc w:val="both"/>
        <w:rPr>
          <w:rFonts w:ascii="Arial" w:hAnsi="Arial" w:cs="Arial"/>
          <w:b/>
          <w:bCs/>
          <w:color w:val="000000"/>
        </w:rPr>
      </w:pPr>
      <w:r>
        <w:rPr>
          <w:rFonts w:ascii="Arial" w:hAnsi="Arial" w:cs="Arial"/>
          <w:b/>
          <w:bCs/>
          <w:color w:val="000000"/>
        </w:rPr>
        <w:t>PROSPETTI CONSOLIDATI PRO-FORMA AL 31/12/2014</w:t>
      </w:r>
    </w:p>
    <w:p w:rsidR="0022594F" w:rsidRDefault="0022594F" w:rsidP="0022594F">
      <w:pPr>
        <w:spacing w:line="276" w:lineRule="auto"/>
        <w:jc w:val="both"/>
        <w:rPr>
          <w:rFonts w:ascii="Arial" w:hAnsi="Arial" w:cs="Arial"/>
          <w:b/>
          <w:bCs/>
          <w:color w:val="000000"/>
        </w:rPr>
      </w:pPr>
    </w:p>
    <w:p w:rsidR="0022594F" w:rsidRPr="004D0647" w:rsidRDefault="0022594F" w:rsidP="0022594F">
      <w:pPr>
        <w:spacing w:line="276" w:lineRule="auto"/>
        <w:jc w:val="both"/>
        <w:rPr>
          <w:rFonts w:ascii="Arial" w:hAnsi="Arial" w:cs="Arial"/>
          <w:bCs/>
          <w:color w:val="000000"/>
        </w:rPr>
      </w:pPr>
      <w:r>
        <w:rPr>
          <w:rFonts w:ascii="Arial" w:hAnsi="Arial" w:cs="Arial"/>
          <w:bCs/>
          <w:color w:val="000000"/>
        </w:rPr>
        <w:t xml:space="preserve">I dati pro-forma comparativi </w:t>
      </w:r>
      <w:r w:rsidRPr="00A80EBF">
        <w:rPr>
          <w:rFonts w:ascii="Arial" w:hAnsi="Arial" w:cs="Arial"/>
          <w:bCs/>
          <w:color w:val="000000"/>
        </w:rPr>
        <w:t>dell’esercizio 2013</w:t>
      </w:r>
      <w:r>
        <w:rPr>
          <w:rFonts w:ascii="Arial" w:hAnsi="Arial" w:cs="Arial"/>
          <w:bCs/>
          <w:color w:val="000000"/>
        </w:rPr>
        <w:t xml:space="preserve"> di seguito presentati</w:t>
      </w:r>
      <w:r w:rsidRPr="00586AF8">
        <w:rPr>
          <w:rFonts w:ascii="Arial" w:hAnsi="Arial" w:cs="Arial"/>
          <w:bCs/>
          <w:color w:val="000000"/>
        </w:rPr>
        <w:t xml:space="preserve"> includ</w:t>
      </w:r>
      <w:r>
        <w:rPr>
          <w:rFonts w:ascii="Arial" w:hAnsi="Arial" w:cs="Arial"/>
          <w:bCs/>
          <w:color w:val="000000"/>
        </w:rPr>
        <w:t>ono</w:t>
      </w:r>
      <w:r w:rsidRPr="00586AF8">
        <w:rPr>
          <w:rFonts w:ascii="Arial" w:hAnsi="Arial" w:cs="Arial"/>
          <w:bCs/>
          <w:color w:val="000000"/>
        </w:rPr>
        <w:t xml:space="preserve"> la sola operazione Alexandria</w:t>
      </w:r>
      <w:r w:rsidRPr="004D0647">
        <w:rPr>
          <w:rFonts w:ascii="Arial" w:hAnsi="Arial" w:cs="Arial"/>
          <w:bCs/>
          <w:color w:val="000000"/>
        </w:rPr>
        <w:t xml:space="preserve"> a differenza dei prospetti pro-forma pubblicati nel bilancio 2014 dove nel dat</w:t>
      </w:r>
      <w:r w:rsidRPr="00DB740C">
        <w:rPr>
          <w:rFonts w:ascii="Arial" w:hAnsi="Arial" w:cs="Arial"/>
          <w:bCs/>
          <w:color w:val="000000"/>
        </w:rPr>
        <w:t>o comparativo sono rappresentat</w:t>
      </w:r>
      <w:r>
        <w:rPr>
          <w:rFonts w:ascii="Arial" w:hAnsi="Arial" w:cs="Arial"/>
          <w:bCs/>
          <w:color w:val="000000"/>
        </w:rPr>
        <w:t>e</w:t>
      </w:r>
      <w:r w:rsidRPr="004D0647">
        <w:rPr>
          <w:rFonts w:ascii="Arial" w:hAnsi="Arial" w:cs="Arial"/>
          <w:bCs/>
          <w:color w:val="000000"/>
        </w:rPr>
        <w:t xml:space="preserve"> come derivati </w:t>
      </w:r>
      <w:r>
        <w:rPr>
          <w:rFonts w:ascii="Arial" w:hAnsi="Arial" w:cs="Arial"/>
          <w:bCs/>
          <w:color w:val="000000"/>
        </w:rPr>
        <w:t xml:space="preserve">sia </w:t>
      </w:r>
      <w:r w:rsidRPr="004D0647">
        <w:rPr>
          <w:rFonts w:ascii="Arial" w:hAnsi="Arial" w:cs="Arial"/>
          <w:bCs/>
          <w:color w:val="000000"/>
        </w:rPr>
        <w:t>Alexandria che Santorini.</w:t>
      </w:r>
      <w:r>
        <w:rPr>
          <w:rFonts w:ascii="Arial" w:hAnsi="Arial" w:cs="Arial"/>
          <w:bCs/>
          <w:color w:val="000000"/>
        </w:rPr>
        <w:t xml:space="preserve"> Quest’ultima operazione è stata chiusa il 19 dicembre 2013.</w:t>
      </w:r>
    </w:p>
    <w:p w:rsidR="0022594F" w:rsidRDefault="0022594F" w:rsidP="0022594F">
      <w:pPr>
        <w:rPr>
          <w:rFonts w:ascii="Arial" w:hAnsi="Arial" w:cs="Arial"/>
        </w:rPr>
      </w:pPr>
      <w:bookmarkStart w:id="1" w:name="_Toc410660129"/>
      <w:bookmarkStart w:id="2" w:name="_Toc410808613"/>
      <w:bookmarkStart w:id="3" w:name="_Toc414027584"/>
      <w:bookmarkStart w:id="4" w:name="_Toc414028895"/>
      <w:bookmarkStart w:id="5" w:name="_Toc414360288"/>
      <w:bookmarkStart w:id="6" w:name="_Toc414376675"/>
      <w:bookmarkStart w:id="7" w:name="_Toc414439777"/>
      <w:bookmarkStart w:id="8" w:name="_Toc414443944"/>
      <w:bookmarkStart w:id="9" w:name="_Toc417040275"/>
    </w:p>
    <w:p w:rsidR="0022594F" w:rsidRPr="00851A70" w:rsidRDefault="0022594F" w:rsidP="0022594F">
      <w:pPr>
        <w:pStyle w:val="Titolo5"/>
        <w:rPr>
          <w:rFonts w:ascii="Arial" w:hAnsi="Arial" w:cs="Arial"/>
          <w:i/>
          <w:color w:val="auto"/>
        </w:rPr>
      </w:pPr>
      <w:r w:rsidRPr="00851A70">
        <w:rPr>
          <w:rFonts w:ascii="Arial" w:hAnsi="Arial" w:cs="Arial"/>
          <w:i/>
          <w:color w:val="auto"/>
        </w:rPr>
        <w:t>Stato patrimoniale consolidato pro-forma</w:t>
      </w:r>
      <w:bookmarkEnd w:id="1"/>
      <w:bookmarkEnd w:id="2"/>
      <w:bookmarkEnd w:id="3"/>
      <w:bookmarkEnd w:id="4"/>
      <w:bookmarkEnd w:id="5"/>
      <w:bookmarkEnd w:id="6"/>
      <w:bookmarkEnd w:id="7"/>
      <w:bookmarkEnd w:id="8"/>
      <w:bookmarkEnd w:id="9"/>
      <w:r w:rsidRPr="00851A70">
        <w:rPr>
          <w:rFonts w:ascii="Arial" w:hAnsi="Arial" w:cs="Arial"/>
          <w:i/>
          <w:color w:val="auto"/>
        </w:rPr>
        <w:t xml:space="preserve"> – attivo (dati in euro migliaia)</w:t>
      </w:r>
    </w:p>
    <w:p w:rsidR="0022594F" w:rsidRPr="004D0647" w:rsidRDefault="0022594F" w:rsidP="0022594F"/>
    <w:p w:rsidR="0022594F" w:rsidRDefault="0022594F" w:rsidP="0022594F">
      <w:r w:rsidRPr="00A31DFC">
        <w:rPr>
          <w:noProof/>
        </w:rPr>
        <w:drawing>
          <wp:inline distT="0" distB="0" distL="0" distR="0" wp14:anchorId="40CC24F0" wp14:editId="72B1E087">
            <wp:extent cx="6120130" cy="4567555"/>
            <wp:effectExtent l="0" t="0" r="0" b="44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4567555"/>
                    </a:xfrm>
                    <a:prstGeom prst="rect">
                      <a:avLst/>
                    </a:prstGeom>
                    <a:noFill/>
                    <a:ln>
                      <a:noFill/>
                    </a:ln>
                  </pic:spPr>
                </pic:pic>
              </a:graphicData>
            </a:graphic>
          </wp:inline>
        </w:drawing>
      </w:r>
    </w:p>
    <w:p w:rsidR="004F18BF" w:rsidRDefault="004F18BF" w:rsidP="004F18BF">
      <w:pPr>
        <w:pStyle w:val="Didascalia"/>
        <w:rPr>
          <w:i/>
        </w:rPr>
      </w:pPr>
      <w:r w:rsidRPr="009355BC">
        <w:rPr>
          <w:i/>
        </w:rPr>
        <w:t xml:space="preserve">* </w:t>
      </w:r>
      <w:r>
        <w:rPr>
          <w:i/>
        </w:rPr>
        <w:t>Saldi rettificati come riportato nel bilancio 2014</w:t>
      </w:r>
      <w:r w:rsidRPr="009355BC">
        <w:rPr>
          <w:i/>
        </w:rPr>
        <w:t>.</w:t>
      </w:r>
    </w:p>
    <w:p w:rsidR="0022594F" w:rsidRDefault="0022594F" w:rsidP="0022594F">
      <w:pPr>
        <w:spacing w:after="200" w:line="276" w:lineRule="auto"/>
      </w:pPr>
      <w:r>
        <w:br w:type="page"/>
      </w:r>
    </w:p>
    <w:p w:rsidR="0022594F" w:rsidRDefault="0022594F" w:rsidP="0022594F"/>
    <w:p w:rsidR="0022594F" w:rsidRPr="00851A70" w:rsidRDefault="0022594F" w:rsidP="0022594F">
      <w:pPr>
        <w:pStyle w:val="Titolo5"/>
        <w:rPr>
          <w:rFonts w:ascii="Arial" w:hAnsi="Arial" w:cs="Arial"/>
          <w:i/>
          <w:color w:val="auto"/>
        </w:rPr>
      </w:pPr>
      <w:r w:rsidRPr="00851A70">
        <w:rPr>
          <w:rFonts w:ascii="Arial" w:hAnsi="Arial" w:cs="Arial"/>
          <w:i/>
          <w:color w:val="auto"/>
        </w:rPr>
        <w:t>Stato patrimoniale consolidato pro-forma – passivo (dati in euro migliaia)</w:t>
      </w:r>
    </w:p>
    <w:p w:rsidR="0022594F" w:rsidRDefault="0022594F" w:rsidP="0022594F"/>
    <w:p w:rsidR="0022594F" w:rsidRPr="00D462E8" w:rsidRDefault="0022594F" w:rsidP="0022594F"/>
    <w:p w:rsidR="0022594F" w:rsidRDefault="0022594F" w:rsidP="0022594F">
      <w:pPr>
        <w:spacing w:after="200" w:line="276" w:lineRule="auto"/>
      </w:pPr>
      <w:r w:rsidRPr="00A31DFC">
        <w:rPr>
          <w:noProof/>
        </w:rPr>
        <w:drawing>
          <wp:inline distT="0" distB="0" distL="0" distR="0" wp14:anchorId="2CFF96FA" wp14:editId="644FB914">
            <wp:extent cx="6120130" cy="471297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712970"/>
                    </a:xfrm>
                    <a:prstGeom prst="rect">
                      <a:avLst/>
                    </a:prstGeom>
                    <a:noFill/>
                    <a:ln>
                      <a:noFill/>
                    </a:ln>
                  </pic:spPr>
                </pic:pic>
              </a:graphicData>
            </a:graphic>
          </wp:inline>
        </w:drawing>
      </w:r>
    </w:p>
    <w:p w:rsidR="0022594F" w:rsidRDefault="0022594F" w:rsidP="0022594F">
      <w:pPr>
        <w:pStyle w:val="Didascalia"/>
        <w:rPr>
          <w:i/>
        </w:rPr>
      </w:pPr>
      <w:r w:rsidRPr="009355BC">
        <w:rPr>
          <w:i/>
        </w:rPr>
        <w:t xml:space="preserve">* </w:t>
      </w:r>
      <w:r w:rsidR="00BD3184">
        <w:rPr>
          <w:i/>
        </w:rPr>
        <w:t xml:space="preserve">Saldi rettificati come </w:t>
      </w:r>
      <w:r w:rsidR="004F18BF">
        <w:rPr>
          <w:i/>
        </w:rPr>
        <w:t>riportato</w:t>
      </w:r>
      <w:r w:rsidR="00BD3184">
        <w:rPr>
          <w:i/>
        </w:rPr>
        <w:t xml:space="preserve"> nel bilancio 2014</w:t>
      </w:r>
      <w:r w:rsidRPr="009355BC">
        <w:rPr>
          <w:i/>
        </w:rPr>
        <w:t>.</w:t>
      </w:r>
    </w:p>
    <w:p w:rsidR="0022594F" w:rsidRDefault="0022594F" w:rsidP="0022594F">
      <w:pPr>
        <w:rPr>
          <w:rFonts w:ascii="Garamond" w:eastAsiaTheme="minorEastAsia" w:hAnsi="Garamond" w:cstheme="minorBidi"/>
          <w:i/>
          <w:sz w:val="18"/>
          <w:szCs w:val="16"/>
          <w:lang w:eastAsia="en-US" w:bidi="en-US"/>
        </w:rPr>
      </w:pPr>
      <w:r>
        <w:rPr>
          <w:i/>
        </w:rPr>
        <w:br w:type="page"/>
      </w:r>
    </w:p>
    <w:p w:rsidR="0022594F" w:rsidRPr="00851A70" w:rsidRDefault="0022594F" w:rsidP="0022594F">
      <w:pPr>
        <w:pStyle w:val="Titolo5"/>
        <w:rPr>
          <w:rFonts w:ascii="Arial" w:hAnsi="Arial" w:cs="Arial"/>
          <w:i/>
          <w:color w:val="auto"/>
        </w:rPr>
      </w:pPr>
      <w:bookmarkStart w:id="10" w:name="_Toc378842962"/>
      <w:bookmarkStart w:id="11" w:name="_Toc380403717"/>
      <w:bookmarkStart w:id="12" w:name="_Toc381715475"/>
      <w:bookmarkStart w:id="13" w:name="_Toc383426172"/>
      <w:bookmarkStart w:id="14" w:name="_Toc383427746"/>
      <w:bookmarkStart w:id="15" w:name="_Toc383526032"/>
      <w:bookmarkStart w:id="16" w:name="_Toc384137306"/>
      <w:bookmarkStart w:id="17" w:name="_Toc410660130"/>
      <w:bookmarkStart w:id="18" w:name="_Toc410808614"/>
      <w:bookmarkStart w:id="19" w:name="_Toc414027585"/>
      <w:bookmarkStart w:id="20" w:name="_Toc414028896"/>
      <w:bookmarkStart w:id="21" w:name="_Toc414360289"/>
      <w:bookmarkStart w:id="22" w:name="_Toc414376676"/>
      <w:bookmarkStart w:id="23" w:name="_Toc414439778"/>
      <w:bookmarkStart w:id="24" w:name="_Toc414443945"/>
      <w:bookmarkStart w:id="25" w:name="_Toc417040276"/>
      <w:r w:rsidRPr="00851A70">
        <w:rPr>
          <w:rFonts w:ascii="Arial" w:hAnsi="Arial" w:cs="Arial"/>
          <w:i/>
          <w:color w:val="auto"/>
        </w:rPr>
        <w:lastRenderedPageBreak/>
        <w:t>Conto economico consolidato pro-forma</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851A70">
        <w:rPr>
          <w:rFonts w:ascii="Arial" w:hAnsi="Arial" w:cs="Arial"/>
          <w:i/>
          <w:color w:val="auto"/>
        </w:rPr>
        <w:t xml:space="preserve"> (dati in euro migliaia)</w:t>
      </w:r>
    </w:p>
    <w:p w:rsidR="0022594F" w:rsidRPr="003606D7" w:rsidRDefault="0022594F" w:rsidP="0022594F"/>
    <w:p w:rsidR="0022594F" w:rsidRPr="00162FE8" w:rsidRDefault="0022594F" w:rsidP="0022594F">
      <w:r w:rsidRPr="0046747C">
        <w:rPr>
          <w:noProof/>
        </w:rPr>
        <w:drawing>
          <wp:inline distT="0" distB="0" distL="0" distR="0" wp14:anchorId="617C204F" wp14:editId="71F0740D">
            <wp:extent cx="6120130" cy="749236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492365"/>
                    </a:xfrm>
                    <a:prstGeom prst="rect">
                      <a:avLst/>
                    </a:prstGeom>
                    <a:noFill/>
                    <a:ln>
                      <a:noFill/>
                    </a:ln>
                  </pic:spPr>
                </pic:pic>
              </a:graphicData>
            </a:graphic>
          </wp:inline>
        </w:drawing>
      </w:r>
    </w:p>
    <w:p w:rsidR="004F18BF" w:rsidRDefault="004F18BF" w:rsidP="004F18BF">
      <w:pPr>
        <w:pStyle w:val="Didascalia"/>
        <w:rPr>
          <w:i/>
        </w:rPr>
      </w:pPr>
      <w:bookmarkStart w:id="26" w:name="_Toc378842963"/>
      <w:bookmarkStart w:id="27" w:name="_Toc380403718"/>
      <w:r w:rsidRPr="009355BC">
        <w:rPr>
          <w:i/>
        </w:rPr>
        <w:t xml:space="preserve">* </w:t>
      </w:r>
      <w:r>
        <w:rPr>
          <w:i/>
        </w:rPr>
        <w:t>Saldi rettificati come riportato nel bilancio 2014</w:t>
      </w:r>
      <w:r w:rsidRPr="009355BC">
        <w:rPr>
          <w:i/>
        </w:rPr>
        <w:t>.</w:t>
      </w:r>
    </w:p>
    <w:p w:rsidR="0022594F" w:rsidRPr="00851A70" w:rsidRDefault="0022594F" w:rsidP="0022594F">
      <w:pPr>
        <w:pStyle w:val="Titolo5"/>
        <w:rPr>
          <w:rFonts w:ascii="Arial" w:hAnsi="Arial" w:cs="Arial"/>
          <w:i/>
          <w:color w:val="auto"/>
        </w:rPr>
      </w:pPr>
      <w:r>
        <w:br w:type="page"/>
      </w:r>
      <w:bookmarkStart w:id="28" w:name="_Toc381715476"/>
      <w:bookmarkStart w:id="29" w:name="_Toc383426173"/>
      <w:bookmarkStart w:id="30" w:name="_Toc383427747"/>
      <w:bookmarkStart w:id="31" w:name="_Toc383526033"/>
      <w:bookmarkStart w:id="32" w:name="_Toc384137307"/>
      <w:bookmarkStart w:id="33" w:name="_Toc410660131"/>
      <w:bookmarkStart w:id="34" w:name="_Toc410808615"/>
      <w:bookmarkStart w:id="35" w:name="_Toc414027586"/>
      <w:bookmarkStart w:id="36" w:name="_Toc414028897"/>
      <w:bookmarkStart w:id="37" w:name="_Toc414360290"/>
      <w:bookmarkStart w:id="38" w:name="_Toc414376677"/>
      <w:bookmarkStart w:id="39" w:name="_Toc414439779"/>
      <w:bookmarkStart w:id="40" w:name="_Toc414443946"/>
      <w:bookmarkStart w:id="41" w:name="_Toc417040277"/>
      <w:r w:rsidRPr="00851A70">
        <w:rPr>
          <w:rFonts w:ascii="Arial" w:hAnsi="Arial" w:cs="Arial"/>
          <w:i/>
          <w:color w:val="auto"/>
        </w:rPr>
        <w:lastRenderedPageBreak/>
        <w:t>Prospetto della redditività complessiva consolidata pro-forma</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851A70">
        <w:rPr>
          <w:rFonts w:ascii="Arial" w:hAnsi="Arial" w:cs="Arial"/>
          <w:i/>
          <w:color w:val="auto"/>
        </w:rPr>
        <w:t xml:space="preserve"> (dati in euro migliaia)</w:t>
      </w:r>
    </w:p>
    <w:p w:rsidR="0022594F" w:rsidRDefault="0022594F" w:rsidP="0022594F"/>
    <w:p w:rsidR="0022594F" w:rsidRPr="00162FE8" w:rsidRDefault="0022594F" w:rsidP="0022594F">
      <w:r w:rsidRPr="0046747C">
        <w:rPr>
          <w:noProof/>
        </w:rPr>
        <w:drawing>
          <wp:inline distT="0" distB="0" distL="0" distR="0" wp14:anchorId="30A11281" wp14:editId="2E4FBB67">
            <wp:extent cx="6120130" cy="421830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218305"/>
                    </a:xfrm>
                    <a:prstGeom prst="rect">
                      <a:avLst/>
                    </a:prstGeom>
                    <a:noFill/>
                    <a:ln>
                      <a:noFill/>
                    </a:ln>
                  </pic:spPr>
                </pic:pic>
              </a:graphicData>
            </a:graphic>
          </wp:inline>
        </w:drawing>
      </w:r>
    </w:p>
    <w:p w:rsidR="0022594F" w:rsidRDefault="0022594F" w:rsidP="0022594F">
      <w:pPr>
        <w:rPr>
          <w:rStyle w:val="DidascaliaCarattere"/>
          <w:i/>
        </w:rPr>
      </w:pPr>
    </w:p>
    <w:p w:rsidR="004F18BF" w:rsidRDefault="004F18BF" w:rsidP="004F18BF">
      <w:pPr>
        <w:pStyle w:val="Didascalia"/>
        <w:rPr>
          <w:i/>
        </w:rPr>
      </w:pPr>
      <w:r w:rsidRPr="009355BC">
        <w:rPr>
          <w:i/>
        </w:rPr>
        <w:t xml:space="preserve">* </w:t>
      </w:r>
      <w:r>
        <w:rPr>
          <w:i/>
        </w:rPr>
        <w:t>Saldi rettificati come riportato nel bilancio 2014</w:t>
      </w:r>
      <w:r w:rsidRPr="009355BC">
        <w:rPr>
          <w:i/>
        </w:rPr>
        <w:t>.</w:t>
      </w:r>
    </w:p>
    <w:p w:rsidR="0022594F" w:rsidRDefault="0022594F" w:rsidP="0022594F">
      <w:pPr>
        <w:rPr>
          <w:rFonts w:ascii="Chianti Win95BT" w:hAnsi="Chianti Win95BT"/>
          <w:i/>
          <w:sz w:val="16"/>
          <w:szCs w:val="16"/>
        </w:rPr>
      </w:pPr>
    </w:p>
    <w:p w:rsidR="0022594F" w:rsidRDefault="0022594F" w:rsidP="0022594F">
      <w:pPr>
        <w:rPr>
          <w:rFonts w:ascii="Chianti Win95BT" w:hAnsi="Chianti Win95BT"/>
          <w:i/>
          <w:sz w:val="16"/>
          <w:szCs w:val="16"/>
        </w:rPr>
      </w:pPr>
      <w:r>
        <w:rPr>
          <w:rFonts w:ascii="Chianti Win95BT" w:hAnsi="Chianti Win95BT"/>
          <w:i/>
          <w:sz w:val="16"/>
          <w:szCs w:val="16"/>
        </w:rPr>
        <w:br w:type="page"/>
      </w:r>
    </w:p>
    <w:p w:rsidR="0022594F" w:rsidRDefault="0022594F" w:rsidP="0022594F">
      <w:pPr>
        <w:spacing w:line="276" w:lineRule="auto"/>
        <w:jc w:val="both"/>
        <w:rPr>
          <w:rFonts w:ascii="Arial" w:hAnsi="Arial" w:cs="Arial"/>
          <w:b/>
          <w:bCs/>
          <w:color w:val="000000"/>
        </w:rPr>
      </w:pPr>
      <w:r>
        <w:rPr>
          <w:rFonts w:ascii="Arial" w:hAnsi="Arial" w:cs="Arial"/>
          <w:b/>
          <w:bCs/>
          <w:color w:val="000000"/>
        </w:rPr>
        <w:lastRenderedPageBreak/>
        <w:t>ALLEGATO 2</w:t>
      </w:r>
    </w:p>
    <w:p w:rsidR="0022594F" w:rsidRDefault="0022594F" w:rsidP="0022594F">
      <w:pPr>
        <w:spacing w:line="276" w:lineRule="auto"/>
        <w:jc w:val="both"/>
        <w:rPr>
          <w:rFonts w:ascii="Arial" w:hAnsi="Arial" w:cs="Arial"/>
          <w:b/>
          <w:bCs/>
          <w:color w:val="000000"/>
        </w:rPr>
      </w:pPr>
    </w:p>
    <w:p w:rsidR="0022594F" w:rsidRDefault="0022594F" w:rsidP="0022594F">
      <w:pPr>
        <w:spacing w:line="276" w:lineRule="auto"/>
        <w:jc w:val="both"/>
        <w:rPr>
          <w:rFonts w:ascii="Arial" w:hAnsi="Arial" w:cs="Arial"/>
          <w:b/>
          <w:bCs/>
          <w:color w:val="000000"/>
        </w:rPr>
      </w:pPr>
      <w:r>
        <w:rPr>
          <w:rFonts w:ascii="Arial" w:hAnsi="Arial" w:cs="Arial"/>
          <w:b/>
          <w:bCs/>
          <w:color w:val="000000"/>
        </w:rPr>
        <w:t>PROSPETTI PRO-FORMA INDIVIDUALI AL 31/12/2014</w:t>
      </w:r>
    </w:p>
    <w:p w:rsidR="0022594F" w:rsidRDefault="0022594F" w:rsidP="0022594F">
      <w:pPr>
        <w:spacing w:line="276" w:lineRule="auto"/>
        <w:jc w:val="both"/>
        <w:rPr>
          <w:rFonts w:ascii="Arial" w:hAnsi="Arial" w:cs="Arial"/>
          <w:b/>
          <w:bCs/>
          <w:color w:val="000000"/>
        </w:rPr>
      </w:pPr>
    </w:p>
    <w:p w:rsidR="0022594F" w:rsidRPr="00A80EBF" w:rsidRDefault="0022594F" w:rsidP="0022594F">
      <w:pPr>
        <w:spacing w:line="276" w:lineRule="auto"/>
        <w:jc w:val="both"/>
        <w:rPr>
          <w:rFonts w:ascii="Arial" w:hAnsi="Arial" w:cs="Arial"/>
          <w:bCs/>
          <w:color w:val="000000"/>
        </w:rPr>
      </w:pPr>
      <w:r>
        <w:rPr>
          <w:rFonts w:ascii="Arial" w:hAnsi="Arial" w:cs="Arial"/>
          <w:bCs/>
          <w:color w:val="000000"/>
        </w:rPr>
        <w:t xml:space="preserve">I dati pro-forma comparativi </w:t>
      </w:r>
      <w:r w:rsidRPr="00A80EBF">
        <w:rPr>
          <w:rFonts w:ascii="Arial" w:hAnsi="Arial" w:cs="Arial"/>
          <w:bCs/>
          <w:color w:val="000000"/>
        </w:rPr>
        <w:t>dell’esercizio 2013</w:t>
      </w:r>
      <w:r>
        <w:rPr>
          <w:rFonts w:ascii="Arial" w:hAnsi="Arial" w:cs="Arial"/>
          <w:bCs/>
          <w:color w:val="000000"/>
        </w:rPr>
        <w:t xml:space="preserve"> di seguito presentati</w:t>
      </w:r>
      <w:r w:rsidRPr="00586AF8">
        <w:rPr>
          <w:rFonts w:ascii="Arial" w:hAnsi="Arial" w:cs="Arial"/>
          <w:bCs/>
          <w:color w:val="000000"/>
        </w:rPr>
        <w:t xml:space="preserve"> includ</w:t>
      </w:r>
      <w:r>
        <w:rPr>
          <w:rFonts w:ascii="Arial" w:hAnsi="Arial" w:cs="Arial"/>
          <w:bCs/>
          <w:color w:val="000000"/>
        </w:rPr>
        <w:t>ono</w:t>
      </w:r>
      <w:r w:rsidRPr="00586AF8">
        <w:rPr>
          <w:rFonts w:ascii="Arial" w:hAnsi="Arial" w:cs="Arial"/>
          <w:bCs/>
          <w:color w:val="000000"/>
        </w:rPr>
        <w:t xml:space="preserve"> la sola operazione Alexandria</w:t>
      </w:r>
      <w:r w:rsidRPr="00A80EBF">
        <w:rPr>
          <w:rFonts w:ascii="Arial" w:hAnsi="Arial" w:cs="Arial"/>
          <w:bCs/>
          <w:color w:val="000000"/>
        </w:rPr>
        <w:t xml:space="preserve"> a differenza dei prospetti pro-forma pubblicati nel bilancio 2014 dove nel dat</w:t>
      </w:r>
      <w:r w:rsidRPr="00DB740C">
        <w:rPr>
          <w:rFonts w:ascii="Arial" w:hAnsi="Arial" w:cs="Arial"/>
          <w:bCs/>
          <w:color w:val="000000"/>
        </w:rPr>
        <w:t>o comparativo sono rappresentat</w:t>
      </w:r>
      <w:r>
        <w:rPr>
          <w:rFonts w:ascii="Arial" w:hAnsi="Arial" w:cs="Arial"/>
          <w:bCs/>
          <w:color w:val="000000"/>
        </w:rPr>
        <w:t>e</w:t>
      </w:r>
      <w:r w:rsidRPr="00A80EBF">
        <w:rPr>
          <w:rFonts w:ascii="Arial" w:hAnsi="Arial" w:cs="Arial"/>
          <w:bCs/>
          <w:color w:val="000000"/>
        </w:rPr>
        <w:t xml:space="preserve"> come derivati </w:t>
      </w:r>
      <w:r>
        <w:rPr>
          <w:rFonts w:ascii="Arial" w:hAnsi="Arial" w:cs="Arial"/>
          <w:bCs/>
          <w:color w:val="000000"/>
        </w:rPr>
        <w:t xml:space="preserve">sia </w:t>
      </w:r>
      <w:r w:rsidRPr="00A80EBF">
        <w:rPr>
          <w:rFonts w:ascii="Arial" w:hAnsi="Arial" w:cs="Arial"/>
          <w:bCs/>
          <w:color w:val="000000"/>
        </w:rPr>
        <w:t>Alexandria che Santorini.</w:t>
      </w:r>
      <w:r>
        <w:rPr>
          <w:rFonts w:ascii="Arial" w:hAnsi="Arial" w:cs="Arial"/>
          <w:bCs/>
          <w:color w:val="000000"/>
        </w:rPr>
        <w:t xml:space="preserve"> Quest’ultima operazione è stata chiusa il 19 dicembre 2013.</w:t>
      </w:r>
    </w:p>
    <w:p w:rsidR="0022594F" w:rsidRDefault="0022594F" w:rsidP="0022594F">
      <w:pPr>
        <w:spacing w:line="276" w:lineRule="auto"/>
        <w:jc w:val="both"/>
        <w:rPr>
          <w:rFonts w:ascii="Arial" w:hAnsi="Arial" w:cs="Arial"/>
          <w:b/>
          <w:bCs/>
          <w:color w:val="000000"/>
        </w:rPr>
      </w:pPr>
    </w:p>
    <w:p w:rsidR="0022594F" w:rsidRDefault="0022594F" w:rsidP="0022594F">
      <w:pPr>
        <w:pStyle w:val="Titolo5"/>
        <w:rPr>
          <w:rFonts w:ascii="Arial" w:hAnsi="Arial" w:cs="Arial"/>
          <w:i/>
          <w:color w:val="auto"/>
        </w:rPr>
      </w:pPr>
      <w:r w:rsidRPr="00851A70">
        <w:rPr>
          <w:rFonts w:ascii="Arial" w:hAnsi="Arial" w:cs="Arial"/>
          <w:i/>
          <w:color w:val="auto"/>
        </w:rPr>
        <w:t>Stato patrimoniale pro-forma – attivo (dati in euro migliaia)</w:t>
      </w:r>
    </w:p>
    <w:p w:rsidR="00851A70" w:rsidRPr="00851A70" w:rsidRDefault="00851A70" w:rsidP="00851A70"/>
    <w:p w:rsidR="0022594F" w:rsidRDefault="0022594F" w:rsidP="0022594F">
      <w:pPr>
        <w:spacing w:after="200" w:line="276" w:lineRule="auto"/>
      </w:pPr>
      <w:r w:rsidRPr="003E5A89">
        <w:rPr>
          <w:noProof/>
        </w:rPr>
        <w:drawing>
          <wp:inline distT="0" distB="0" distL="0" distR="0" wp14:anchorId="43D51E68" wp14:editId="61FC5A44">
            <wp:extent cx="5541010" cy="5445760"/>
            <wp:effectExtent l="0" t="0" r="2540" b="254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1010" cy="5445760"/>
                    </a:xfrm>
                    <a:prstGeom prst="rect">
                      <a:avLst/>
                    </a:prstGeom>
                    <a:noFill/>
                    <a:ln>
                      <a:noFill/>
                    </a:ln>
                  </pic:spPr>
                </pic:pic>
              </a:graphicData>
            </a:graphic>
          </wp:inline>
        </w:drawing>
      </w:r>
    </w:p>
    <w:p w:rsidR="0022594F" w:rsidRDefault="0022594F" w:rsidP="0022594F">
      <w:r>
        <w:br w:type="page"/>
      </w:r>
    </w:p>
    <w:p w:rsidR="0022594F" w:rsidRPr="00851A70" w:rsidRDefault="0022594F" w:rsidP="0022594F">
      <w:pPr>
        <w:pStyle w:val="Titolo5"/>
        <w:rPr>
          <w:rFonts w:ascii="Arial" w:hAnsi="Arial" w:cs="Arial"/>
          <w:i/>
        </w:rPr>
      </w:pPr>
      <w:r w:rsidRPr="00851A70">
        <w:rPr>
          <w:rFonts w:ascii="Arial" w:hAnsi="Arial" w:cs="Arial"/>
          <w:i/>
          <w:color w:val="auto"/>
        </w:rPr>
        <w:lastRenderedPageBreak/>
        <w:t>Stato patrimoniale pro-forma – passivo (dati in euro migliaia)</w:t>
      </w:r>
    </w:p>
    <w:p w:rsidR="0022594F" w:rsidRPr="003606D7" w:rsidRDefault="0022594F" w:rsidP="0022594F"/>
    <w:p w:rsidR="0022594F" w:rsidRDefault="0022594F" w:rsidP="0022594F"/>
    <w:p w:rsidR="0022594F" w:rsidRDefault="0022594F" w:rsidP="0022594F">
      <w:pPr>
        <w:spacing w:after="200" w:line="276" w:lineRule="auto"/>
      </w:pPr>
      <w:r w:rsidRPr="003E5A89">
        <w:rPr>
          <w:noProof/>
        </w:rPr>
        <w:drawing>
          <wp:inline distT="0" distB="0" distL="0" distR="0" wp14:anchorId="291FBE6B" wp14:editId="41D8CEEF">
            <wp:extent cx="5479415" cy="5991225"/>
            <wp:effectExtent l="0" t="0" r="698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9415" cy="5991225"/>
                    </a:xfrm>
                    <a:prstGeom prst="rect">
                      <a:avLst/>
                    </a:prstGeom>
                    <a:noFill/>
                    <a:ln>
                      <a:noFill/>
                    </a:ln>
                  </pic:spPr>
                </pic:pic>
              </a:graphicData>
            </a:graphic>
          </wp:inline>
        </w:drawing>
      </w:r>
      <w:r>
        <w:br w:type="page"/>
      </w:r>
    </w:p>
    <w:p w:rsidR="0022594F" w:rsidRPr="00851A70" w:rsidRDefault="0022594F" w:rsidP="0022594F">
      <w:pPr>
        <w:pStyle w:val="Titolo5"/>
        <w:rPr>
          <w:rFonts w:ascii="Arial" w:hAnsi="Arial" w:cs="Arial"/>
          <w:i/>
        </w:rPr>
      </w:pPr>
      <w:r w:rsidRPr="00851A70">
        <w:rPr>
          <w:rFonts w:ascii="Arial" w:hAnsi="Arial" w:cs="Arial"/>
          <w:i/>
          <w:color w:val="auto"/>
        </w:rPr>
        <w:lastRenderedPageBreak/>
        <w:t>Conto economico pro-forma (dati in euro migliaia)</w:t>
      </w:r>
    </w:p>
    <w:p w:rsidR="0022594F" w:rsidRPr="003606D7" w:rsidRDefault="0022594F" w:rsidP="0022594F"/>
    <w:p w:rsidR="0022594F" w:rsidRPr="00D9610F" w:rsidRDefault="0022594F" w:rsidP="0022594F"/>
    <w:p w:rsidR="0022594F" w:rsidRDefault="0022594F" w:rsidP="0022594F">
      <w:pPr>
        <w:spacing w:after="200" w:line="276" w:lineRule="auto"/>
        <w:rPr>
          <w:color w:val="74002A"/>
          <w:sz w:val="26"/>
        </w:rPr>
      </w:pPr>
      <w:r w:rsidRPr="003E5A89">
        <w:rPr>
          <w:noProof/>
        </w:rPr>
        <w:drawing>
          <wp:inline distT="0" distB="0" distL="0" distR="0" wp14:anchorId="35878C47" wp14:editId="2C1D5763">
            <wp:extent cx="5479415" cy="7171690"/>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9415" cy="7171690"/>
                    </a:xfrm>
                    <a:prstGeom prst="rect">
                      <a:avLst/>
                    </a:prstGeom>
                    <a:noFill/>
                    <a:ln>
                      <a:noFill/>
                    </a:ln>
                  </pic:spPr>
                </pic:pic>
              </a:graphicData>
            </a:graphic>
          </wp:inline>
        </w:drawing>
      </w:r>
      <w:r>
        <w:rPr>
          <w:color w:val="74002A"/>
          <w:sz w:val="26"/>
        </w:rPr>
        <w:br w:type="page"/>
      </w:r>
    </w:p>
    <w:p w:rsidR="0022594F" w:rsidRPr="00851A70" w:rsidRDefault="0022594F" w:rsidP="0022594F">
      <w:pPr>
        <w:pStyle w:val="Titolo5"/>
        <w:rPr>
          <w:rFonts w:ascii="Arial" w:hAnsi="Arial" w:cs="Arial"/>
          <w:i/>
        </w:rPr>
      </w:pPr>
      <w:r w:rsidRPr="00851A70">
        <w:rPr>
          <w:rFonts w:ascii="Arial" w:hAnsi="Arial" w:cs="Arial"/>
          <w:i/>
          <w:color w:val="auto"/>
        </w:rPr>
        <w:lastRenderedPageBreak/>
        <w:t>Prospetto della redditività complessiva pro-forma (dati in euro migliaia)</w:t>
      </w:r>
    </w:p>
    <w:p w:rsidR="0022594F" w:rsidRPr="003606D7" w:rsidRDefault="0022594F" w:rsidP="0022594F"/>
    <w:p w:rsidR="0022594F" w:rsidRDefault="0022594F" w:rsidP="0022594F">
      <w:pPr>
        <w:rPr>
          <w:color w:val="74002A"/>
          <w:sz w:val="26"/>
        </w:rPr>
      </w:pPr>
      <w:r w:rsidRPr="003E5A89">
        <w:rPr>
          <w:noProof/>
        </w:rPr>
        <w:drawing>
          <wp:inline distT="0" distB="0" distL="0" distR="0" wp14:anchorId="7CAE3166" wp14:editId="41AA1E59">
            <wp:extent cx="5438775" cy="3582670"/>
            <wp:effectExtent l="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38775" cy="3582670"/>
                    </a:xfrm>
                    <a:prstGeom prst="rect">
                      <a:avLst/>
                    </a:prstGeom>
                    <a:noFill/>
                    <a:ln>
                      <a:noFill/>
                    </a:ln>
                  </pic:spPr>
                </pic:pic>
              </a:graphicData>
            </a:graphic>
          </wp:inline>
        </w:drawing>
      </w:r>
    </w:p>
    <w:p w:rsidR="0022594F" w:rsidRDefault="0022594F" w:rsidP="0022594F">
      <w:pPr>
        <w:rPr>
          <w:color w:val="74002A"/>
          <w:sz w:val="26"/>
        </w:rPr>
      </w:pPr>
    </w:p>
    <w:p w:rsidR="0022594F" w:rsidRDefault="0022594F" w:rsidP="0022594F">
      <w:pPr>
        <w:rPr>
          <w:rFonts w:ascii="Arial" w:hAnsi="Arial" w:cs="Arial"/>
          <w:b/>
          <w:bCs/>
          <w:color w:val="000000"/>
        </w:rPr>
      </w:pPr>
      <w:r>
        <w:rPr>
          <w:rFonts w:ascii="Arial" w:hAnsi="Arial" w:cs="Arial"/>
          <w:b/>
          <w:bCs/>
          <w:color w:val="000000"/>
        </w:rPr>
        <w:br w:type="page"/>
      </w:r>
    </w:p>
    <w:p w:rsidR="0022594F" w:rsidRDefault="0022594F" w:rsidP="0022594F">
      <w:pPr>
        <w:spacing w:line="276" w:lineRule="auto"/>
        <w:jc w:val="both"/>
        <w:rPr>
          <w:rFonts w:ascii="Arial" w:hAnsi="Arial" w:cs="Arial"/>
          <w:b/>
          <w:bCs/>
          <w:color w:val="000000"/>
        </w:rPr>
      </w:pPr>
      <w:r>
        <w:rPr>
          <w:rFonts w:ascii="Arial" w:hAnsi="Arial" w:cs="Arial"/>
          <w:b/>
          <w:bCs/>
          <w:color w:val="000000"/>
        </w:rPr>
        <w:lastRenderedPageBreak/>
        <w:t>ALLEGATO 3</w:t>
      </w:r>
    </w:p>
    <w:p w:rsidR="0022594F" w:rsidRDefault="0022594F" w:rsidP="0022594F">
      <w:pPr>
        <w:spacing w:line="276" w:lineRule="auto"/>
        <w:jc w:val="both"/>
        <w:rPr>
          <w:rFonts w:ascii="Arial" w:hAnsi="Arial" w:cs="Arial"/>
          <w:b/>
          <w:bCs/>
          <w:color w:val="000000"/>
        </w:rPr>
      </w:pPr>
    </w:p>
    <w:p w:rsidR="0022594F" w:rsidRDefault="0022594F" w:rsidP="0022594F">
      <w:pPr>
        <w:spacing w:line="276" w:lineRule="auto"/>
        <w:jc w:val="both"/>
        <w:rPr>
          <w:rFonts w:ascii="Arial" w:hAnsi="Arial" w:cs="Arial"/>
          <w:b/>
          <w:bCs/>
          <w:color w:val="000000"/>
        </w:rPr>
      </w:pPr>
      <w:r w:rsidRPr="003606D7">
        <w:rPr>
          <w:rFonts w:ascii="Arial" w:hAnsi="Arial" w:cs="Arial"/>
          <w:b/>
          <w:bCs/>
          <w:color w:val="000000"/>
        </w:rPr>
        <w:t xml:space="preserve">PROSPETTI PRO-FORMA </w:t>
      </w:r>
      <w:r>
        <w:rPr>
          <w:rFonts w:ascii="Arial" w:hAnsi="Arial" w:cs="Arial"/>
          <w:b/>
          <w:bCs/>
          <w:color w:val="000000"/>
        </w:rPr>
        <w:t xml:space="preserve">CONSOLIDATI </w:t>
      </w:r>
      <w:r w:rsidRPr="003606D7">
        <w:rPr>
          <w:rFonts w:ascii="Arial" w:hAnsi="Arial" w:cs="Arial"/>
          <w:b/>
          <w:bCs/>
          <w:color w:val="000000"/>
        </w:rPr>
        <w:t>AL 30/06/2015</w:t>
      </w:r>
    </w:p>
    <w:p w:rsidR="0022594F" w:rsidRDefault="0022594F" w:rsidP="0022594F">
      <w:pPr>
        <w:spacing w:line="276" w:lineRule="auto"/>
        <w:jc w:val="both"/>
        <w:rPr>
          <w:rFonts w:ascii="Arial" w:hAnsi="Arial" w:cs="Arial"/>
          <w:b/>
          <w:bCs/>
          <w:color w:val="000000"/>
        </w:rPr>
      </w:pPr>
    </w:p>
    <w:p w:rsidR="0022594F" w:rsidRPr="00851A70" w:rsidRDefault="0022594F" w:rsidP="0022594F">
      <w:pPr>
        <w:pStyle w:val="Titolo5"/>
        <w:rPr>
          <w:rFonts w:ascii="Arial" w:hAnsi="Arial" w:cs="Arial"/>
          <w:i/>
          <w:color w:val="auto"/>
        </w:rPr>
      </w:pPr>
      <w:r w:rsidRPr="00851A70">
        <w:rPr>
          <w:rFonts w:ascii="Arial" w:hAnsi="Arial" w:cs="Arial"/>
          <w:i/>
          <w:color w:val="auto"/>
        </w:rPr>
        <w:t>Stato patrimoniale consolidato pro-forma (dati in euro migliaia)</w:t>
      </w:r>
    </w:p>
    <w:p w:rsidR="0022594F" w:rsidRPr="001B6A1C" w:rsidRDefault="0022594F" w:rsidP="0022594F"/>
    <w:p w:rsidR="0022594F" w:rsidRPr="009355BC" w:rsidRDefault="0022594F" w:rsidP="0022594F">
      <w:r>
        <w:rPr>
          <w:noProof/>
        </w:rPr>
        <w:drawing>
          <wp:inline distT="0" distB="0" distL="0" distR="0" wp14:anchorId="365B25C2" wp14:editId="61C44CC1">
            <wp:extent cx="5429250" cy="49244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0" cy="4924425"/>
                    </a:xfrm>
                    <a:prstGeom prst="rect">
                      <a:avLst/>
                    </a:prstGeom>
                    <a:noFill/>
                    <a:ln>
                      <a:noFill/>
                    </a:ln>
                  </pic:spPr>
                </pic:pic>
              </a:graphicData>
            </a:graphic>
          </wp:inline>
        </w:drawing>
      </w:r>
    </w:p>
    <w:p w:rsidR="0022594F" w:rsidRDefault="0022594F" w:rsidP="0022594F"/>
    <w:p w:rsidR="0022594F" w:rsidRDefault="0022594F" w:rsidP="0022594F">
      <w:pPr>
        <w:spacing w:after="200" w:line="276" w:lineRule="auto"/>
      </w:pPr>
      <w:r>
        <w:br w:type="page"/>
      </w:r>
    </w:p>
    <w:p w:rsidR="0022594F" w:rsidRPr="00851A70" w:rsidRDefault="0022594F" w:rsidP="0022594F">
      <w:pPr>
        <w:pStyle w:val="Titolo5"/>
        <w:rPr>
          <w:rFonts w:ascii="Arial" w:hAnsi="Arial" w:cs="Arial"/>
          <w:i/>
          <w:color w:val="auto"/>
        </w:rPr>
      </w:pPr>
      <w:r w:rsidRPr="00851A70">
        <w:rPr>
          <w:rFonts w:ascii="Arial" w:hAnsi="Arial" w:cs="Arial"/>
          <w:i/>
          <w:color w:val="auto"/>
        </w:rPr>
        <w:lastRenderedPageBreak/>
        <w:t>Stato patrimoniale consolidato pro-forma – passivo (dati in euro migliaia)</w:t>
      </w:r>
    </w:p>
    <w:p w:rsidR="0022594F" w:rsidRDefault="0022594F" w:rsidP="0022594F">
      <w:pPr>
        <w:rPr>
          <w:noProof/>
        </w:rPr>
      </w:pPr>
    </w:p>
    <w:p w:rsidR="0022594F" w:rsidRDefault="0022594F" w:rsidP="0022594F">
      <w:r>
        <w:rPr>
          <w:noProof/>
        </w:rPr>
        <w:drawing>
          <wp:inline distT="0" distB="0" distL="0" distR="0" wp14:anchorId="42C17AAE" wp14:editId="138C34A3">
            <wp:extent cx="5295900" cy="62960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5900" cy="6296025"/>
                    </a:xfrm>
                    <a:prstGeom prst="rect">
                      <a:avLst/>
                    </a:prstGeom>
                    <a:noFill/>
                    <a:ln>
                      <a:noFill/>
                    </a:ln>
                  </pic:spPr>
                </pic:pic>
              </a:graphicData>
            </a:graphic>
          </wp:inline>
        </w:drawing>
      </w:r>
    </w:p>
    <w:p w:rsidR="0022594F" w:rsidRPr="00D462E8" w:rsidRDefault="0022594F" w:rsidP="0022594F"/>
    <w:p w:rsidR="0022594F" w:rsidRDefault="0022594F" w:rsidP="0022594F">
      <w:pPr>
        <w:spacing w:after="200" w:line="276" w:lineRule="auto"/>
      </w:pPr>
      <w:r>
        <w:br w:type="page"/>
      </w:r>
    </w:p>
    <w:p w:rsidR="0022594F" w:rsidRPr="00851A70" w:rsidRDefault="0022594F" w:rsidP="0022594F">
      <w:pPr>
        <w:pStyle w:val="Titolo5"/>
        <w:rPr>
          <w:rFonts w:ascii="Arial" w:hAnsi="Arial" w:cs="Arial"/>
          <w:i/>
          <w:color w:val="auto"/>
        </w:rPr>
      </w:pPr>
      <w:bookmarkStart w:id="42" w:name="_Toc418153424"/>
      <w:bookmarkStart w:id="43" w:name="_Toc418153599"/>
      <w:r w:rsidRPr="00851A70">
        <w:rPr>
          <w:rFonts w:ascii="Arial" w:hAnsi="Arial" w:cs="Arial"/>
          <w:i/>
          <w:color w:val="auto"/>
        </w:rPr>
        <w:lastRenderedPageBreak/>
        <w:t>Conto economico consolidato pro-forma</w:t>
      </w:r>
      <w:bookmarkEnd w:id="42"/>
      <w:bookmarkEnd w:id="43"/>
      <w:r w:rsidRPr="00851A70">
        <w:rPr>
          <w:rFonts w:ascii="Arial" w:hAnsi="Arial" w:cs="Arial"/>
          <w:i/>
          <w:color w:val="auto"/>
        </w:rPr>
        <w:t xml:space="preserve"> (dati in euro migliaia)</w:t>
      </w:r>
    </w:p>
    <w:p w:rsidR="0022594F" w:rsidRPr="003606D7" w:rsidRDefault="0022594F" w:rsidP="0022594F"/>
    <w:p w:rsidR="0022594F" w:rsidRPr="00162FE8" w:rsidRDefault="0022594F" w:rsidP="0022594F">
      <w:r>
        <w:rPr>
          <w:noProof/>
        </w:rPr>
        <w:drawing>
          <wp:inline distT="0" distB="0" distL="0" distR="0" wp14:anchorId="04CC1960" wp14:editId="24F62848">
            <wp:extent cx="5343525" cy="77247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3525" cy="7724775"/>
                    </a:xfrm>
                    <a:prstGeom prst="rect">
                      <a:avLst/>
                    </a:prstGeom>
                    <a:noFill/>
                    <a:ln>
                      <a:noFill/>
                    </a:ln>
                  </pic:spPr>
                </pic:pic>
              </a:graphicData>
            </a:graphic>
          </wp:inline>
        </w:drawing>
      </w:r>
    </w:p>
    <w:p w:rsidR="0022594F" w:rsidRPr="00851A70" w:rsidRDefault="0022594F" w:rsidP="0022594F">
      <w:pPr>
        <w:pStyle w:val="Titolo5"/>
        <w:rPr>
          <w:rFonts w:ascii="Arial" w:hAnsi="Arial" w:cs="Arial"/>
          <w:i/>
          <w:color w:val="auto"/>
        </w:rPr>
      </w:pPr>
      <w:r>
        <w:br w:type="page"/>
      </w:r>
      <w:bookmarkStart w:id="44" w:name="_Toc418153425"/>
      <w:bookmarkStart w:id="45" w:name="_Toc418153600"/>
      <w:r w:rsidRPr="00851A70">
        <w:rPr>
          <w:rFonts w:ascii="Arial" w:hAnsi="Arial" w:cs="Arial"/>
          <w:i/>
          <w:color w:val="auto"/>
        </w:rPr>
        <w:lastRenderedPageBreak/>
        <w:t>Prospetto della redditività complessiva consolidata pro-forma</w:t>
      </w:r>
      <w:bookmarkEnd w:id="44"/>
      <w:bookmarkEnd w:id="45"/>
      <w:r w:rsidRPr="00851A70">
        <w:rPr>
          <w:rFonts w:ascii="Arial" w:hAnsi="Arial" w:cs="Arial"/>
          <w:i/>
          <w:color w:val="auto"/>
        </w:rPr>
        <w:t xml:space="preserve"> (dati in euro migliaia)</w:t>
      </w:r>
    </w:p>
    <w:p w:rsidR="0022594F" w:rsidRDefault="0022594F" w:rsidP="0022594F"/>
    <w:p w:rsidR="0022594F" w:rsidRPr="00162FE8" w:rsidRDefault="0022594F" w:rsidP="0022594F">
      <w:r>
        <w:rPr>
          <w:noProof/>
        </w:rPr>
        <w:drawing>
          <wp:inline distT="0" distB="0" distL="0" distR="0" wp14:anchorId="127412AC" wp14:editId="09FD1306">
            <wp:extent cx="5429250" cy="4686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0" cy="4686300"/>
                    </a:xfrm>
                    <a:prstGeom prst="rect">
                      <a:avLst/>
                    </a:prstGeom>
                    <a:noFill/>
                    <a:ln>
                      <a:noFill/>
                    </a:ln>
                  </pic:spPr>
                </pic:pic>
              </a:graphicData>
            </a:graphic>
          </wp:inline>
        </w:drawing>
      </w:r>
    </w:p>
    <w:p w:rsidR="0022594F" w:rsidRPr="003606D7" w:rsidRDefault="0022594F" w:rsidP="0022594F">
      <w:pPr>
        <w:spacing w:line="276" w:lineRule="auto"/>
        <w:jc w:val="both"/>
        <w:rPr>
          <w:rFonts w:ascii="Arial" w:hAnsi="Arial" w:cs="Arial"/>
          <w:b/>
          <w:bCs/>
          <w:color w:val="000000"/>
        </w:rPr>
      </w:pPr>
    </w:p>
    <w:p w:rsidR="0022594F" w:rsidRDefault="0022594F" w:rsidP="0022594F"/>
    <w:p w:rsidR="0022594F" w:rsidRPr="007C2E3B" w:rsidRDefault="0022594F" w:rsidP="0022594F"/>
    <w:p w:rsidR="0022594F" w:rsidRPr="001A22DB" w:rsidRDefault="0022594F" w:rsidP="0022594F">
      <w:pPr>
        <w:spacing w:line="276" w:lineRule="auto"/>
        <w:jc w:val="both"/>
        <w:rPr>
          <w:rFonts w:ascii="Arial" w:hAnsi="Arial" w:cs="Arial"/>
          <w:b/>
          <w:bCs/>
          <w:color w:val="000000"/>
        </w:rPr>
      </w:pPr>
    </w:p>
    <w:p w:rsidR="0022594F" w:rsidRDefault="0022594F" w:rsidP="0022594F">
      <w:pPr>
        <w:rPr>
          <w:rFonts w:ascii="Arial" w:hAnsi="Arial" w:cs="Arial"/>
          <w:b/>
          <w:bCs/>
          <w:color w:val="000000"/>
        </w:rPr>
      </w:pPr>
      <w:r>
        <w:rPr>
          <w:rFonts w:ascii="Arial" w:hAnsi="Arial" w:cs="Arial"/>
          <w:b/>
          <w:bCs/>
          <w:color w:val="000000"/>
        </w:rPr>
        <w:br w:type="page"/>
      </w:r>
    </w:p>
    <w:p w:rsidR="00126CCC" w:rsidRPr="00DD79E6" w:rsidRDefault="0022594F" w:rsidP="00DD79E6">
      <w:pPr>
        <w:jc w:val="both"/>
        <w:rPr>
          <w:rFonts w:ascii="Arial" w:hAnsi="Arial" w:cs="Arial"/>
          <w:b/>
        </w:rPr>
      </w:pPr>
      <w:r w:rsidRPr="00DD79E6">
        <w:rPr>
          <w:rFonts w:ascii="Arial" w:hAnsi="Arial" w:cs="Arial"/>
          <w:b/>
        </w:rPr>
        <w:lastRenderedPageBreak/>
        <w:t>ALLEGATO 4</w:t>
      </w:r>
    </w:p>
    <w:p w:rsidR="00126CCC" w:rsidRPr="00DD79E6" w:rsidRDefault="00126CCC" w:rsidP="00DD79E6">
      <w:pPr>
        <w:jc w:val="both"/>
        <w:rPr>
          <w:rFonts w:ascii="Arial" w:hAnsi="Arial" w:cs="Arial"/>
          <w:b/>
        </w:rPr>
      </w:pPr>
    </w:p>
    <w:p w:rsidR="0022594F" w:rsidRPr="00DD79E6" w:rsidRDefault="0022594F" w:rsidP="00DD79E6">
      <w:pPr>
        <w:jc w:val="both"/>
        <w:rPr>
          <w:rFonts w:ascii="Arial" w:hAnsi="Arial" w:cs="Arial"/>
          <w:b/>
        </w:rPr>
      </w:pPr>
      <w:r w:rsidRPr="00DD79E6">
        <w:rPr>
          <w:rFonts w:ascii="Arial" w:hAnsi="Arial" w:cs="Arial"/>
          <w:b/>
        </w:rPr>
        <w:t>IMPATTI ECONOMICI DIFFERENZIALI STIMATI DELLA RAPPRESENTAZIONE CONTABILE “A SALDI CHIUSI” DELL’OPERAZIONE C.D. ALEXANDRIA</w:t>
      </w:r>
    </w:p>
    <w:p w:rsidR="0022594F" w:rsidRDefault="0022594F" w:rsidP="0022594F">
      <w:pPr>
        <w:jc w:val="both"/>
      </w:pPr>
    </w:p>
    <w:p w:rsidR="0022594F" w:rsidRDefault="0022594F" w:rsidP="0022594F">
      <w:pPr>
        <w:spacing w:line="276" w:lineRule="auto"/>
        <w:jc w:val="both"/>
        <w:rPr>
          <w:rFonts w:ascii="Arial" w:hAnsi="Arial" w:cs="Arial"/>
          <w:b/>
          <w:bCs/>
          <w:color w:val="000000"/>
        </w:rPr>
      </w:pPr>
    </w:p>
    <w:p w:rsidR="0022594F" w:rsidRPr="00652241" w:rsidRDefault="0022594F" w:rsidP="0022594F">
      <w:pPr>
        <w:spacing w:line="276" w:lineRule="auto"/>
        <w:jc w:val="both"/>
        <w:rPr>
          <w:rFonts w:ascii="Arial" w:hAnsi="Arial" w:cs="Arial"/>
          <w:b/>
          <w:bCs/>
          <w:color w:val="000000"/>
        </w:rPr>
      </w:pPr>
      <w:r w:rsidRPr="00586AF8">
        <w:rPr>
          <w:noProof/>
        </w:rPr>
        <w:drawing>
          <wp:inline distT="0" distB="0" distL="0" distR="0" wp14:anchorId="1FC374CE" wp14:editId="2864D376">
            <wp:extent cx="6120130" cy="791037"/>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791037"/>
                    </a:xfrm>
                    <a:prstGeom prst="rect">
                      <a:avLst/>
                    </a:prstGeom>
                    <a:noFill/>
                    <a:ln>
                      <a:noFill/>
                    </a:ln>
                  </pic:spPr>
                </pic:pic>
              </a:graphicData>
            </a:graphic>
          </wp:inline>
        </w:drawing>
      </w:r>
    </w:p>
    <w:p w:rsidR="002B61C4" w:rsidRPr="00652241" w:rsidRDefault="002B61C4" w:rsidP="00DD35E1">
      <w:pPr>
        <w:spacing w:line="276" w:lineRule="auto"/>
        <w:jc w:val="both"/>
        <w:rPr>
          <w:rFonts w:ascii="Arial" w:hAnsi="Arial" w:cs="Arial"/>
          <w:b/>
          <w:bCs/>
          <w:color w:val="000000"/>
        </w:rPr>
      </w:pPr>
    </w:p>
    <w:sectPr w:rsidR="002B61C4" w:rsidRPr="00652241" w:rsidSect="00707568">
      <w:headerReference w:type="default" r:id="rId25"/>
      <w:footerReference w:type="default" r:id="rId26"/>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C72" w:rsidRDefault="00B90C72">
      <w:r>
        <w:separator/>
      </w:r>
    </w:p>
  </w:endnote>
  <w:endnote w:type="continuationSeparator" w:id="0">
    <w:p w:rsidR="00B90C72" w:rsidRDefault="00B9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ulti">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hianti Win95BT">
    <w:altName w:val="Lucida Sans Unicode"/>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74" w:rsidRPr="006A1937" w:rsidRDefault="005F27F3">
    <w:pPr>
      <w:pStyle w:val="Pidipagina"/>
      <w:jc w:val="center"/>
      <w:rPr>
        <w:rFonts w:ascii="Arial" w:hAnsi="Arial" w:cs="Arial"/>
        <w:sz w:val="20"/>
        <w:szCs w:val="20"/>
      </w:rPr>
    </w:pPr>
    <w:r w:rsidRPr="006A1937">
      <w:rPr>
        <w:rFonts w:ascii="Arial" w:hAnsi="Arial" w:cs="Arial"/>
        <w:sz w:val="20"/>
        <w:szCs w:val="20"/>
      </w:rPr>
      <w:fldChar w:fldCharType="begin"/>
    </w:r>
    <w:r w:rsidRPr="006A1937">
      <w:rPr>
        <w:rFonts w:ascii="Arial" w:hAnsi="Arial" w:cs="Arial"/>
        <w:sz w:val="20"/>
        <w:szCs w:val="20"/>
      </w:rPr>
      <w:instrText>PAGE   \* MERGEFORMAT</w:instrText>
    </w:r>
    <w:r w:rsidRPr="006A1937">
      <w:rPr>
        <w:rFonts w:ascii="Arial" w:hAnsi="Arial" w:cs="Arial"/>
        <w:sz w:val="20"/>
        <w:szCs w:val="20"/>
      </w:rPr>
      <w:fldChar w:fldCharType="separate"/>
    </w:r>
    <w:r w:rsidR="006A1937">
      <w:rPr>
        <w:rFonts w:ascii="Arial" w:hAnsi="Arial" w:cs="Arial"/>
        <w:noProof/>
        <w:sz w:val="20"/>
        <w:szCs w:val="20"/>
      </w:rPr>
      <w:t>1</w:t>
    </w:r>
    <w:r w:rsidRPr="006A1937">
      <w:rPr>
        <w:rFonts w:ascii="Arial" w:hAnsi="Arial" w:cs="Arial"/>
        <w:noProof/>
        <w:sz w:val="20"/>
        <w:szCs w:val="20"/>
      </w:rPr>
      <w:fldChar w:fldCharType="end"/>
    </w:r>
  </w:p>
  <w:p w:rsidR="00B93474" w:rsidRPr="00A43020" w:rsidRDefault="00B93474" w:rsidP="007030FE">
    <w:pPr>
      <w:pStyle w:val="Pidipagina"/>
      <w:rPr>
        <w:noProof/>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C72" w:rsidRDefault="00B90C72">
      <w:r>
        <w:separator/>
      </w:r>
    </w:p>
  </w:footnote>
  <w:footnote w:type="continuationSeparator" w:id="0">
    <w:p w:rsidR="00B90C72" w:rsidRDefault="00B90C72">
      <w:r>
        <w:continuationSeparator/>
      </w:r>
    </w:p>
  </w:footnote>
  <w:footnote w:id="1">
    <w:p w:rsidR="006525B3" w:rsidRPr="0022594F" w:rsidRDefault="006525B3">
      <w:pPr>
        <w:pStyle w:val="Testonotaapidipagina"/>
        <w:rPr>
          <w:rFonts w:ascii="Arial" w:hAnsi="Arial" w:cs="Arial"/>
        </w:rPr>
      </w:pPr>
      <w:r>
        <w:rPr>
          <w:rStyle w:val="Rimandonotaapidipagina"/>
        </w:rPr>
        <w:footnoteRef/>
      </w:r>
      <w:r>
        <w:t xml:space="preserve"> </w:t>
      </w:r>
      <w:r w:rsidRPr="0022594F">
        <w:rPr>
          <w:rFonts w:ascii="Arial" w:hAnsi="Arial" w:cs="Arial"/>
        </w:rPr>
        <w:t>Trattasi di guida implementativa che non fa parte del corpus dei principi omologati dalla Commissione Europea.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74" w:rsidRPr="00AD3AC7" w:rsidRDefault="00B93474" w:rsidP="00694CEC">
    <w:pPr>
      <w:rPr>
        <w:rFonts w:cs="Calibri"/>
        <w:sz w:val="18"/>
        <w:szCs w:val="18"/>
      </w:rPr>
    </w:pPr>
  </w:p>
  <w:tbl>
    <w:tblPr>
      <w:tblW w:w="0" w:type="auto"/>
      <w:tblLook w:val="01E0" w:firstRow="1" w:lastRow="1" w:firstColumn="1" w:lastColumn="1" w:noHBand="0" w:noVBand="0"/>
    </w:tblPr>
    <w:tblGrid>
      <w:gridCol w:w="3259"/>
      <w:gridCol w:w="6205"/>
      <w:gridCol w:w="314"/>
    </w:tblGrid>
    <w:tr w:rsidR="00B93474" w:rsidTr="00C51B3C">
      <w:tc>
        <w:tcPr>
          <w:tcW w:w="3259" w:type="dxa"/>
          <w:vAlign w:val="center"/>
        </w:tcPr>
        <w:p w:rsidR="00B93474" w:rsidRDefault="00C3728E" w:rsidP="006F3053">
          <w:pPr>
            <w:pStyle w:val="Intestazione"/>
            <w:tabs>
              <w:tab w:val="clear" w:pos="4819"/>
              <w:tab w:val="clear" w:pos="9638"/>
              <w:tab w:val="right" w:pos="3043"/>
            </w:tabs>
          </w:pPr>
          <w:r>
            <w:rPr>
              <w:noProof/>
            </w:rPr>
            <w:drawing>
              <wp:anchor distT="0" distB="0" distL="114300" distR="114300" simplePos="0" relativeHeight="251660288" behindDoc="0" locked="0" layoutInCell="1" allowOverlap="1" wp14:anchorId="18B6A569" wp14:editId="31F46378">
                <wp:simplePos x="0" y="0"/>
                <wp:positionH relativeFrom="column">
                  <wp:posOffset>-1410335</wp:posOffset>
                </wp:positionH>
                <wp:positionV relativeFrom="paragraph">
                  <wp:posOffset>-4445</wp:posOffset>
                </wp:positionV>
                <wp:extent cx="1304925" cy="4762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76250"/>
                        </a:xfrm>
                        <a:prstGeom prst="rect">
                          <a:avLst/>
                        </a:prstGeom>
                        <a:noFill/>
                      </pic:spPr>
                    </pic:pic>
                  </a:graphicData>
                </a:graphic>
                <wp14:sizeRelH relativeFrom="page">
                  <wp14:pctWidth>0</wp14:pctWidth>
                </wp14:sizeRelH>
                <wp14:sizeRelV relativeFrom="page">
                  <wp14:pctHeight>0</wp14:pctHeight>
                </wp14:sizeRelV>
              </wp:anchor>
            </w:drawing>
          </w:r>
          <w:r w:rsidR="00B93474">
            <w:tab/>
          </w:r>
        </w:p>
      </w:tc>
      <w:tc>
        <w:tcPr>
          <w:tcW w:w="6205" w:type="dxa"/>
        </w:tcPr>
        <w:p w:rsidR="00B93474" w:rsidRPr="0073015E" w:rsidRDefault="00B93474" w:rsidP="0073015E">
          <w:pPr>
            <w:pStyle w:val="Intestazione"/>
            <w:ind w:left="569"/>
            <w:jc w:val="right"/>
            <w:rPr>
              <w:b/>
            </w:rPr>
          </w:pPr>
        </w:p>
      </w:tc>
      <w:tc>
        <w:tcPr>
          <w:tcW w:w="314" w:type="dxa"/>
        </w:tcPr>
        <w:p w:rsidR="00B93474" w:rsidRDefault="00B93474" w:rsidP="003A266C">
          <w:pPr>
            <w:pStyle w:val="Intestazione"/>
          </w:pPr>
        </w:p>
      </w:tc>
    </w:tr>
  </w:tbl>
  <w:p w:rsidR="00B93474" w:rsidRDefault="00B9347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66F"/>
    <w:multiLevelType w:val="singleLevel"/>
    <w:tmpl w:val="977A98F6"/>
    <w:lvl w:ilvl="0">
      <w:start w:val="1"/>
      <w:numFmt w:val="decimal"/>
      <w:lvlText w:val="%1."/>
      <w:legacy w:legacy="1" w:legacySpace="0" w:legacyIndent="360"/>
      <w:lvlJc w:val="left"/>
      <w:rPr>
        <w:rFonts w:ascii="Arial Multi" w:hAnsi="Arial Multi" w:cs="Arial Multi" w:hint="default"/>
      </w:rPr>
    </w:lvl>
  </w:abstractNum>
  <w:abstractNum w:abstractNumId="1">
    <w:nsid w:val="067A25ED"/>
    <w:multiLevelType w:val="hybridMultilevel"/>
    <w:tmpl w:val="4DAA0B0C"/>
    <w:lvl w:ilvl="0" w:tplc="04100013">
      <w:start w:val="1"/>
      <w:numFmt w:val="upperRoman"/>
      <w:lvlText w:val="%1."/>
      <w:lvlJc w:val="right"/>
      <w:pPr>
        <w:ind w:left="720" w:hanging="360"/>
      </w:pPr>
      <w:rPr>
        <w:rFonts w:cs="Times New Roman"/>
      </w:rPr>
    </w:lvl>
    <w:lvl w:ilvl="1" w:tplc="04100013">
      <w:start w:val="1"/>
      <w:numFmt w:val="upperRoman"/>
      <w:lvlText w:val="%2."/>
      <w:lvlJc w:val="righ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77257DC"/>
    <w:multiLevelType w:val="hybridMultilevel"/>
    <w:tmpl w:val="932CA70A"/>
    <w:lvl w:ilvl="0" w:tplc="9AD6A9C0">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9BB7379"/>
    <w:multiLevelType w:val="hybridMultilevel"/>
    <w:tmpl w:val="4DA6493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0C3164FB"/>
    <w:multiLevelType w:val="hybridMultilevel"/>
    <w:tmpl w:val="87649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3508B2"/>
    <w:multiLevelType w:val="hybridMultilevel"/>
    <w:tmpl w:val="86F60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C413E4"/>
    <w:multiLevelType w:val="singleLevel"/>
    <w:tmpl w:val="65EEBCA6"/>
    <w:lvl w:ilvl="0">
      <w:start w:val="1"/>
      <w:numFmt w:val="bullet"/>
      <w:lvlText w:val=""/>
      <w:lvlJc w:val="left"/>
      <w:pPr>
        <w:tabs>
          <w:tab w:val="num" w:pos="360"/>
        </w:tabs>
        <w:ind w:left="360" w:hanging="360"/>
      </w:pPr>
      <w:rPr>
        <w:rFonts w:ascii="Symbol" w:hAnsi="Symbol" w:hint="default"/>
        <w:sz w:val="12"/>
      </w:rPr>
    </w:lvl>
  </w:abstractNum>
  <w:abstractNum w:abstractNumId="7">
    <w:nsid w:val="2B004915"/>
    <w:multiLevelType w:val="hybridMultilevel"/>
    <w:tmpl w:val="F6B405CA"/>
    <w:lvl w:ilvl="0" w:tplc="45D692D4">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2B8F4004"/>
    <w:multiLevelType w:val="hybridMultilevel"/>
    <w:tmpl w:val="1B4CBA34"/>
    <w:lvl w:ilvl="0" w:tplc="A76E9B2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CC65628"/>
    <w:multiLevelType w:val="hybridMultilevel"/>
    <w:tmpl w:val="20108860"/>
    <w:lvl w:ilvl="0" w:tplc="9AD6A9C0">
      <w:numFmt w:val="bullet"/>
      <w:lvlText w:val="-"/>
      <w:lvlJc w:val="left"/>
      <w:pPr>
        <w:ind w:left="360" w:hanging="360"/>
      </w:pPr>
      <w:rPr>
        <w:rFonts w:ascii="Arial" w:eastAsia="Times New Roman" w:hAnsi="Arial" w:hint="default"/>
      </w:rPr>
    </w:lvl>
    <w:lvl w:ilvl="1" w:tplc="472CD9B8">
      <w:start w:val="2"/>
      <w:numFmt w:val="bullet"/>
      <w:lvlText w:val=""/>
      <w:lvlJc w:val="left"/>
      <w:pPr>
        <w:ind w:left="1080" w:hanging="360"/>
      </w:pPr>
      <w:rPr>
        <w:rFonts w:ascii="Symbol" w:eastAsia="Times New Roman"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E744269"/>
    <w:multiLevelType w:val="hybridMultilevel"/>
    <w:tmpl w:val="E40AFA9A"/>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0101C48"/>
    <w:multiLevelType w:val="hybridMultilevel"/>
    <w:tmpl w:val="46CA0846"/>
    <w:lvl w:ilvl="0" w:tplc="B8DC6B9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33630"/>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5791FD3"/>
    <w:multiLevelType w:val="hybridMultilevel"/>
    <w:tmpl w:val="55C03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36168A"/>
    <w:multiLevelType w:val="hybridMultilevel"/>
    <w:tmpl w:val="C3F28F8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B1560A9"/>
    <w:multiLevelType w:val="hybridMultilevel"/>
    <w:tmpl w:val="AF8E7C0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C472042"/>
    <w:multiLevelType w:val="hybridMultilevel"/>
    <w:tmpl w:val="7138DBA6"/>
    <w:lvl w:ilvl="0" w:tplc="04100013">
      <w:start w:val="1"/>
      <w:numFmt w:val="upperRoman"/>
      <w:lvlText w:val="%1."/>
      <w:lvlJc w:val="righ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E5E5F39"/>
    <w:multiLevelType w:val="hybridMultilevel"/>
    <w:tmpl w:val="BB9250A8"/>
    <w:lvl w:ilvl="0" w:tplc="93EC5E8C">
      <w:start w:val="3"/>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42113F23"/>
    <w:multiLevelType w:val="hybridMultilevel"/>
    <w:tmpl w:val="43CEB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1C78F3"/>
    <w:multiLevelType w:val="hybridMultilevel"/>
    <w:tmpl w:val="A672FAC2"/>
    <w:lvl w:ilvl="0" w:tplc="9AD6A9C0">
      <w:numFmt w:val="bullet"/>
      <w:lvlText w:val="-"/>
      <w:lvlJc w:val="left"/>
      <w:pPr>
        <w:ind w:left="360" w:hanging="360"/>
      </w:pPr>
      <w:rPr>
        <w:rFonts w:ascii="Arial" w:eastAsia="Times New Roman" w:hAnsi="Aria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0">
    <w:nsid w:val="428E14BB"/>
    <w:multiLevelType w:val="hybridMultilevel"/>
    <w:tmpl w:val="0CD6BC12"/>
    <w:lvl w:ilvl="0" w:tplc="9AD6A9C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EE63E9"/>
    <w:multiLevelType w:val="hybridMultilevel"/>
    <w:tmpl w:val="3D7AD0D8"/>
    <w:lvl w:ilvl="0" w:tplc="04100019">
      <w:start w:val="9"/>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953298B"/>
    <w:multiLevelType w:val="hybridMultilevel"/>
    <w:tmpl w:val="D9E477CA"/>
    <w:lvl w:ilvl="0" w:tplc="9AD6A9C0">
      <w:numFmt w:val="bullet"/>
      <w:lvlText w:val="-"/>
      <w:lvlJc w:val="left"/>
      <w:pPr>
        <w:ind w:left="1068"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C1139A"/>
    <w:multiLevelType w:val="hybridMultilevel"/>
    <w:tmpl w:val="383CA3C0"/>
    <w:lvl w:ilvl="0" w:tplc="A76E9B2C">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4AEC760F"/>
    <w:multiLevelType w:val="hybridMultilevel"/>
    <w:tmpl w:val="7C846E0A"/>
    <w:lvl w:ilvl="0" w:tplc="A76E9B2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D5203BA"/>
    <w:multiLevelType w:val="hybridMultilevel"/>
    <w:tmpl w:val="4774A1FA"/>
    <w:lvl w:ilvl="0" w:tplc="4F76C68A">
      <w:numFmt w:val="bullet"/>
      <w:lvlText w:val="-"/>
      <w:lvlJc w:val="left"/>
      <w:pPr>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nsid w:val="59252E41"/>
    <w:multiLevelType w:val="hybridMultilevel"/>
    <w:tmpl w:val="7840C5E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F3A0CCD"/>
    <w:multiLevelType w:val="hybridMultilevel"/>
    <w:tmpl w:val="AD3A0BF4"/>
    <w:lvl w:ilvl="0" w:tplc="9AD6A9C0">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0DB6C47"/>
    <w:multiLevelType w:val="hybridMultilevel"/>
    <w:tmpl w:val="5D3EA10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615A16AA"/>
    <w:multiLevelType w:val="hybridMultilevel"/>
    <w:tmpl w:val="70F86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1C056D6"/>
    <w:multiLevelType w:val="hybridMultilevel"/>
    <w:tmpl w:val="2298AAB0"/>
    <w:lvl w:ilvl="0" w:tplc="04100013">
      <w:start w:val="1"/>
      <w:numFmt w:val="upperRoman"/>
      <w:lvlText w:val="%1."/>
      <w:lvlJc w:val="right"/>
      <w:pPr>
        <w:ind w:left="720" w:hanging="360"/>
      </w:pPr>
      <w:rPr>
        <w:rFonts w:cs="Times New Roman"/>
      </w:rPr>
    </w:lvl>
    <w:lvl w:ilvl="1" w:tplc="D0AC16E8">
      <w:start w:val="1"/>
      <w:numFmt w:val="lowerRoman"/>
      <w:lvlText w:val="%2."/>
      <w:lvlJc w:val="left"/>
      <w:pPr>
        <w:ind w:left="1800" w:hanging="72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625E6926"/>
    <w:multiLevelType w:val="hybridMultilevel"/>
    <w:tmpl w:val="BB26467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639F079D"/>
    <w:multiLevelType w:val="hybridMultilevel"/>
    <w:tmpl w:val="9190C09E"/>
    <w:lvl w:ilvl="0" w:tplc="2F7E43AA">
      <w:start w:val="1"/>
      <w:numFmt w:val="bullet"/>
      <w:lvlText w:val=""/>
      <w:lvlJc w:val="left"/>
      <w:pPr>
        <w:tabs>
          <w:tab w:val="num" w:pos="780"/>
        </w:tabs>
        <w:ind w:left="780" w:hanging="360"/>
      </w:pPr>
      <w:rPr>
        <w:rFonts w:ascii="Symbol" w:hAnsi="Symbol" w:hint="default"/>
        <w:b w:val="0"/>
        <w:i w:val="0"/>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9F36A0F"/>
    <w:multiLevelType w:val="hybridMultilevel"/>
    <w:tmpl w:val="3626B0C8"/>
    <w:lvl w:ilvl="0" w:tplc="9AD6A9C0">
      <w:numFmt w:val="bullet"/>
      <w:lvlText w:val="-"/>
      <w:lvlJc w:val="left"/>
      <w:pPr>
        <w:ind w:left="1068"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BB66D5F"/>
    <w:multiLevelType w:val="hybridMultilevel"/>
    <w:tmpl w:val="5764E9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6D7A1FF1"/>
    <w:multiLevelType w:val="hybridMultilevel"/>
    <w:tmpl w:val="1310CB9E"/>
    <w:lvl w:ilvl="0" w:tplc="9AD6A9C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9C086E"/>
    <w:multiLevelType w:val="hybridMultilevel"/>
    <w:tmpl w:val="2A161942"/>
    <w:lvl w:ilvl="0" w:tplc="9AD6A9C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44E1A9D"/>
    <w:multiLevelType w:val="hybridMultilevel"/>
    <w:tmpl w:val="A8AC7BE6"/>
    <w:lvl w:ilvl="0" w:tplc="9AD6A9C0">
      <w:numFmt w:val="bullet"/>
      <w:lvlText w:val="-"/>
      <w:lvlJc w:val="left"/>
      <w:pPr>
        <w:ind w:left="1068" w:hanging="360"/>
      </w:pPr>
      <w:rPr>
        <w:rFonts w:ascii="Arial" w:eastAsia="Times New Roman" w:hAnsi="Aria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8">
    <w:nsid w:val="7482695A"/>
    <w:multiLevelType w:val="hybridMultilevel"/>
    <w:tmpl w:val="CDB88500"/>
    <w:lvl w:ilvl="0" w:tplc="DF3C867C">
      <w:start w:val="1"/>
      <w:numFmt w:val="bullet"/>
      <w:lvlText w:val="•"/>
      <w:lvlJc w:val="left"/>
      <w:pPr>
        <w:tabs>
          <w:tab w:val="num" w:pos="720"/>
        </w:tabs>
        <w:ind w:left="720" w:hanging="360"/>
      </w:pPr>
      <w:rPr>
        <w:rFonts w:ascii="Arial" w:hAnsi="Arial" w:hint="default"/>
      </w:rPr>
    </w:lvl>
    <w:lvl w:ilvl="1" w:tplc="A8A8C78E">
      <w:start w:val="1"/>
      <w:numFmt w:val="bullet"/>
      <w:lvlText w:val="•"/>
      <w:lvlJc w:val="left"/>
      <w:pPr>
        <w:tabs>
          <w:tab w:val="num" w:pos="1440"/>
        </w:tabs>
        <w:ind w:left="1440" w:hanging="360"/>
      </w:pPr>
      <w:rPr>
        <w:rFonts w:ascii="Arial" w:hAnsi="Arial" w:hint="default"/>
      </w:rPr>
    </w:lvl>
    <w:lvl w:ilvl="2" w:tplc="290E8462">
      <w:start w:val="1"/>
      <w:numFmt w:val="bullet"/>
      <w:lvlText w:val="•"/>
      <w:lvlJc w:val="left"/>
      <w:pPr>
        <w:tabs>
          <w:tab w:val="num" w:pos="2160"/>
        </w:tabs>
        <w:ind w:left="2160" w:hanging="360"/>
      </w:pPr>
      <w:rPr>
        <w:rFonts w:ascii="Arial" w:hAnsi="Arial" w:hint="default"/>
      </w:rPr>
    </w:lvl>
    <w:lvl w:ilvl="3" w:tplc="1F403CF4">
      <w:start w:val="1"/>
      <w:numFmt w:val="bullet"/>
      <w:lvlText w:val="•"/>
      <w:lvlJc w:val="left"/>
      <w:pPr>
        <w:tabs>
          <w:tab w:val="num" w:pos="2880"/>
        </w:tabs>
        <w:ind w:left="2880" w:hanging="360"/>
      </w:pPr>
      <w:rPr>
        <w:rFonts w:ascii="Arial" w:hAnsi="Arial" w:hint="default"/>
      </w:rPr>
    </w:lvl>
    <w:lvl w:ilvl="4" w:tplc="D00CEACA">
      <w:start w:val="1"/>
      <w:numFmt w:val="bullet"/>
      <w:lvlText w:val="•"/>
      <w:lvlJc w:val="left"/>
      <w:pPr>
        <w:tabs>
          <w:tab w:val="num" w:pos="3600"/>
        </w:tabs>
        <w:ind w:left="3600" w:hanging="360"/>
      </w:pPr>
      <w:rPr>
        <w:rFonts w:ascii="Arial" w:hAnsi="Arial" w:hint="default"/>
      </w:rPr>
    </w:lvl>
    <w:lvl w:ilvl="5" w:tplc="EFD432CE">
      <w:start w:val="1"/>
      <w:numFmt w:val="bullet"/>
      <w:lvlText w:val="•"/>
      <w:lvlJc w:val="left"/>
      <w:pPr>
        <w:tabs>
          <w:tab w:val="num" w:pos="4320"/>
        </w:tabs>
        <w:ind w:left="4320" w:hanging="360"/>
      </w:pPr>
      <w:rPr>
        <w:rFonts w:ascii="Arial" w:hAnsi="Arial" w:hint="default"/>
      </w:rPr>
    </w:lvl>
    <w:lvl w:ilvl="6" w:tplc="99828F0E">
      <w:start w:val="1"/>
      <w:numFmt w:val="bullet"/>
      <w:lvlText w:val="•"/>
      <w:lvlJc w:val="left"/>
      <w:pPr>
        <w:tabs>
          <w:tab w:val="num" w:pos="5040"/>
        </w:tabs>
        <w:ind w:left="5040" w:hanging="360"/>
      </w:pPr>
      <w:rPr>
        <w:rFonts w:ascii="Arial" w:hAnsi="Arial" w:hint="default"/>
      </w:rPr>
    </w:lvl>
    <w:lvl w:ilvl="7" w:tplc="8FE82304">
      <w:start w:val="1"/>
      <w:numFmt w:val="bullet"/>
      <w:lvlText w:val="•"/>
      <w:lvlJc w:val="left"/>
      <w:pPr>
        <w:tabs>
          <w:tab w:val="num" w:pos="5760"/>
        </w:tabs>
        <w:ind w:left="5760" w:hanging="360"/>
      </w:pPr>
      <w:rPr>
        <w:rFonts w:ascii="Arial" w:hAnsi="Arial" w:hint="default"/>
      </w:rPr>
    </w:lvl>
    <w:lvl w:ilvl="8" w:tplc="A9743664">
      <w:start w:val="1"/>
      <w:numFmt w:val="bullet"/>
      <w:lvlText w:val="•"/>
      <w:lvlJc w:val="left"/>
      <w:pPr>
        <w:tabs>
          <w:tab w:val="num" w:pos="6480"/>
        </w:tabs>
        <w:ind w:left="6480" w:hanging="360"/>
      </w:pPr>
      <w:rPr>
        <w:rFonts w:ascii="Arial" w:hAnsi="Arial" w:hint="default"/>
      </w:rPr>
    </w:lvl>
  </w:abstractNum>
  <w:abstractNum w:abstractNumId="39">
    <w:nsid w:val="75AD3591"/>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7DD1EBE"/>
    <w:multiLevelType w:val="hybridMultilevel"/>
    <w:tmpl w:val="0C5C84CC"/>
    <w:lvl w:ilvl="0" w:tplc="FB7C641A">
      <w:start w:val="1"/>
      <w:numFmt w:val="bullet"/>
      <w:lvlText w:val=""/>
      <w:lvlJc w:val="left"/>
      <w:pPr>
        <w:tabs>
          <w:tab w:val="num" w:pos="720"/>
        </w:tabs>
        <w:ind w:left="720" w:hanging="360"/>
      </w:pPr>
      <w:rPr>
        <w:rFonts w:ascii="Wingdings" w:hAnsi="Wingdings" w:hint="default"/>
      </w:rPr>
    </w:lvl>
    <w:lvl w:ilvl="1" w:tplc="C7406A28">
      <w:start w:val="1"/>
      <w:numFmt w:val="bullet"/>
      <w:lvlText w:val=""/>
      <w:lvlJc w:val="left"/>
      <w:pPr>
        <w:tabs>
          <w:tab w:val="num" w:pos="1440"/>
        </w:tabs>
        <w:ind w:left="1440" w:hanging="360"/>
      </w:pPr>
      <w:rPr>
        <w:rFonts w:ascii="Wingdings" w:hAnsi="Wingdings" w:hint="default"/>
      </w:rPr>
    </w:lvl>
    <w:lvl w:ilvl="2" w:tplc="16761788">
      <w:start w:val="1"/>
      <w:numFmt w:val="bullet"/>
      <w:lvlText w:val=""/>
      <w:lvlJc w:val="left"/>
      <w:pPr>
        <w:tabs>
          <w:tab w:val="num" w:pos="2160"/>
        </w:tabs>
        <w:ind w:left="2160" w:hanging="360"/>
      </w:pPr>
      <w:rPr>
        <w:rFonts w:ascii="Wingdings" w:hAnsi="Wingdings" w:hint="default"/>
      </w:rPr>
    </w:lvl>
    <w:lvl w:ilvl="3" w:tplc="2236EE28">
      <w:start w:val="1"/>
      <w:numFmt w:val="bullet"/>
      <w:lvlText w:val=""/>
      <w:lvlJc w:val="left"/>
      <w:pPr>
        <w:tabs>
          <w:tab w:val="num" w:pos="2880"/>
        </w:tabs>
        <w:ind w:left="2880" w:hanging="360"/>
      </w:pPr>
      <w:rPr>
        <w:rFonts w:ascii="Wingdings" w:hAnsi="Wingdings" w:hint="default"/>
      </w:rPr>
    </w:lvl>
    <w:lvl w:ilvl="4" w:tplc="FF145FB8">
      <w:start w:val="1"/>
      <w:numFmt w:val="bullet"/>
      <w:lvlText w:val=""/>
      <w:lvlJc w:val="left"/>
      <w:pPr>
        <w:tabs>
          <w:tab w:val="num" w:pos="3600"/>
        </w:tabs>
        <w:ind w:left="3600" w:hanging="360"/>
      </w:pPr>
      <w:rPr>
        <w:rFonts w:ascii="Wingdings" w:hAnsi="Wingdings" w:hint="default"/>
      </w:rPr>
    </w:lvl>
    <w:lvl w:ilvl="5" w:tplc="9B56C508">
      <w:start w:val="1"/>
      <w:numFmt w:val="bullet"/>
      <w:lvlText w:val=""/>
      <w:lvlJc w:val="left"/>
      <w:pPr>
        <w:tabs>
          <w:tab w:val="num" w:pos="4320"/>
        </w:tabs>
        <w:ind w:left="4320" w:hanging="360"/>
      </w:pPr>
      <w:rPr>
        <w:rFonts w:ascii="Wingdings" w:hAnsi="Wingdings" w:hint="default"/>
      </w:rPr>
    </w:lvl>
    <w:lvl w:ilvl="6" w:tplc="7D72F39E">
      <w:start w:val="1"/>
      <w:numFmt w:val="bullet"/>
      <w:lvlText w:val=""/>
      <w:lvlJc w:val="left"/>
      <w:pPr>
        <w:tabs>
          <w:tab w:val="num" w:pos="5040"/>
        </w:tabs>
        <w:ind w:left="5040" w:hanging="360"/>
      </w:pPr>
      <w:rPr>
        <w:rFonts w:ascii="Wingdings" w:hAnsi="Wingdings" w:hint="default"/>
      </w:rPr>
    </w:lvl>
    <w:lvl w:ilvl="7" w:tplc="A142F34A">
      <w:start w:val="1"/>
      <w:numFmt w:val="bullet"/>
      <w:lvlText w:val=""/>
      <w:lvlJc w:val="left"/>
      <w:pPr>
        <w:tabs>
          <w:tab w:val="num" w:pos="5760"/>
        </w:tabs>
        <w:ind w:left="5760" w:hanging="360"/>
      </w:pPr>
      <w:rPr>
        <w:rFonts w:ascii="Wingdings" w:hAnsi="Wingdings" w:hint="default"/>
      </w:rPr>
    </w:lvl>
    <w:lvl w:ilvl="8" w:tplc="285842AA">
      <w:start w:val="1"/>
      <w:numFmt w:val="bullet"/>
      <w:lvlText w:val=""/>
      <w:lvlJc w:val="left"/>
      <w:pPr>
        <w:tabs>
          <w:tab w:val="num" w:pos="6480"/>
        </w:tabs>
        <w:ind w:left="6480" w:hanging="360"/>
      </w:pPr>
      <w:rPr>
        <w:rFonts w:ascii="Wingdings" w:hAnsi="Wingdings" w:hint="default"/>
      </w:rPr>
    </w:lvl>
  </w:abstractNum>
  <w:abstractNum w:abstractNumId="41">
    <w:nsid w:val="78F22E24"/>
    <w:multiLevelType w:val="hybridMultilevel"/>
    <w:tmpl w:val="ACA6FA62"/>
    <w:lvl w:ilvl="0" w:tplc="9AD6A9C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9BB4B89"/>
    <w:multiLevelType w:val="hybridMultilevel"/>
    <w:tmpl w:val="605AB544"/>
    <w:lvl w:ilvl="0" w:tplc="FFD2D6EA">
      <w:numFmt w:val="bullet"/>
      <w:lvlText w:val="-"/>
      <w:lvlJc w:val="left"/>
      <w:pPr>
        <w:tabs>
          <w:tab w:val="num" w:pos="720"/>
        </w:tabs>
        <w:ind w:left="720" w:hanging="360"/>
      </w:pPr>
      <w:rPr>
        <w:rFonts w:ascii="Arial" w:eastAsia="Times New Roman" w:hAnsi="Arial" w:hint="default"/>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3">
    <w:nsid w:val="7B08314F"/>
    <w:multiLevelType w:val="hybridMultilevel"/>
    <w:tmpl w:val="A90EFE8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4">
    <w:nsid w:val="7B7F0AFA"/>
    <w:multiLevelType w:val="hybridMultilevel"/>
    <w:tmpl w:val="9F60CC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4"/>
  </w:num>
  <w:num w:numId="3">
    <w:abstractNumId w:val="3"/>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
  </w:num>
  <w:num w:numId="7">
    <w:abstractNumId w:val="6"/>
  </w:num>
  <w:num w:numId="8">
    <w:abstractNumId w:val="34"/>
  </w:num>
  <w:num w:numId="9">
    <w:abstractNumId w:val="38"/>
  </w:num>
  <w:num w:numId="10">
    <w:abstractNumId w:val="40"/>
  </w:num>
  <w:num w:numId="11">
    <w:abstractNumId w:val="11"/>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7"/>
  </w:num>
  <w:num w:numId="16">
    <w:abstractNumId w:val="7"/>
  </w:num>
  <w:num w:numId="17">
    <w:abstractNumId w:val="15"/>
  </w:num>
  <w:num w:numId="18">
    <w:abstractNumId w:val="19"/>
  </w:num>
  <w:num w:numId="19">
    <w:abstractNumId w:val="14"/>
  </w:num>
  <w:num w:numId="20">
    <w:abstractNumId w:val="10"/>
  </w:num>
  <w:num w:numId="21">
    <w:abstractNumId w:val="24"/>
  </w:num>
  <w:num w:numId="22">
    <w:abstractNumId w:val="8"/>
  </w:num>
  <w:num w:numId="23">
    <w:abstractNumId w:val="2"/>
  </w:num>
  <w:num w:numId="24">
    <w:abstractNumId w:val="23"/>
  </w:num>
  <w:num w:numId="25">
    <w:abstractNumId w:val="39"/>
  </w:num>
  <w:num w:numId="26">
    <w:abstractNumId w:val="28"/>
  </w:num>
  <w:num w:numId="27">
    <w:abstractNumId w:val="9"/>
  </w:num>
  <w:num w:numId="28">
    <w:abstractNumId w:val="41"/>
  </w:num>
  <w:num w:numId="29">
    <w:abstractNumId w:val="30"/>
  </w:num>
  <w:num w:numId="30">
    <w:abstractNumId w:val="21"/>
  </w:num>
  <w:num w:numId="31">
    <w:abstractNumId w:val="20"/>
  </w:num>
  <w:num w:numId="32">
    <w:abstractNumId w:val="16"/>
  </w:num>
  <w:num w:numId="33">
    <w:abstractNumId w:val="1"/>
  </w:num>
  <w:num w:numId="34">
    <w:abstractNumId w:val="37"/>
  </w:num>
  <w:num w:numId="35">
    <w:abstractNumId w:val="4"/>
  </w:num>
  <w:num w:numId="36">
    <w:abstractNumId w:val="29"/>
  </w:num>
  <w:num w:numId="37">
    <w:abstractNumId w:val="22"/>
  </w:num>
  <w:num w:numId="38">
    <w:abstractNumId w:val="31"/>
  </w:num>
  <w:num w:numId="39">
    <w:abstractNumId w:val="12"/>
  </w:num>
  <w:num w:numId="40">
    <w:abstractNumId w:val="33"/>
  </w:num>
  <w:num w:numId="41">
    <w:abstractNumId w:val="35"/>
  </w:num>
  <w:num w:numId="42">
    <w:abstractNumId w:val="36"/>
  </w:num>
  <w:num w:numId="43">
    <w:abstractNumId w:val="18"/>
  </w:num>
  <w:num w:numId="44">
    <w:abstractNumId w:val="5"/>
  </w:num>
  <w:num w:numId="45">
    <w:abstractNumId w:val="26"/>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FE"/>
    <w:rsid w:val="00000658"/>
    <w:rsid w:val="000015AD"/>
    <w:rsid w:val="00005583"/>
    <w:rsid w:val="000102E4"/>
    <w:rsid w:val="00012D99"/>
    <w:rsid w:val="0001422C"/>
    <w:rsid w:val="00015817"/>
    <w:rsid w:val="000220A6"/>
    <w:rsid w:val="000264C4"/>
    <w:rsid w:val="00026D6B"/>
    <w:rsid w:val="00030045"/>
    <w:rsid w:val="0003216A"/>
    <w:rsid w:val="0003608C"/>
    <w:rsid w:val="00037017"/>
    <w:rsid w:val="00040AD4"/>
    <w:rsid w:val="0004290D"/>
    <w:rsid w:val="00042BAC"/>
    <w:rsid w:val="00042F62"/>
    <w:rsid w:val="00044DAA"/>
    <w:rsid w:val="00044F94"/>
    <w:rsid w:val="000517A1"/>
    <w:rsid w:val="00053C3A"/>
    <w:rsid w:val="00055616"/>
    <w:rsid w:val="00056372"/>
    <w:rsid w:val="00062DF9"/>
    <w:rsid w:val="00064B58"/>
    <w:rsid w:val="00065AFB"/>
    <w:rsid w:val="000661E0"/>
    <w:rsid w:val="00066858"/>
    <w:rsid w:val="000673F7"/>
    <w:rsid w:val="00070CAD"/>
    <w:rsid w:val="00071863"/>
    <w:rsid w:val="000739FA"/>
    <w:rsid w:val="0007499B"/>
    <w:rsid w:val="00075064"/>
    <w:rsid w:val="00075696"/>
    <w:rsid w:val="00076D0E"/>
    <w:rsid w:val="000771BC"/>
    <w:rsid w:val="0007769B"/>
    <w:rsid w:val="0008241B"/>
    <w:rsid w:val="0008394C"/>
    <w:rsid w:val="00083B88"/>
    <w:rsid w:val="000849EE"/>
    <w:rsid w:val="000858E6"/>
    <w:rsid w:val="00087DA4"/>
    <w:rsid w:val="00092AC2"/>
    <w:rsid w:val="00092B5F"/>
    <w:rsid w:val="000A05D3"/>
    <w:rsid w:val="000A1F35"/>
    <w:rsid w:val="000A34FB"/>
    <w:rsid w:val="000A3C41"/>
    <w:rsid w:val="000A4941"/>
    <w:rsid w:val="000B0F8D"/>
    <w:rsid w:val="000B48AB"/>
    <w:rsid w:val="000B5A84"/>
    <w:rsid w:val="000C3E14"/>
    <w:rsid w:val="000C48DC"/>
    <w:rsid w:val="000C4FE0"/>
    <w:rsid w:val="000C63E8"/>
    <w:rsid w:val="000C7089"/>
    <w:rsid w:val="000D1EA1"/>
    <w:rsid w:val="000D5F36"/>
    <w:rsid w:val="000E0AD1"/>
    <w:rsid w:val="000E17B5"/>
    <w:rsid w:val="000E3226"/>
    <w:rsid w:val="000E366E"/>
    <w:rsid w:val="000E7287"/>
    <w:rsid w:val="000E73E5"/>
    <w:rsid w:val="000F2869"/>
    <w:rsid w:val="000F491E"/>
    <w:rsid w:val="000F55C0"/>
    <w:rsid w:val="000F63E9"/>
    <w:rsid w:val="000F7307"/>
    <w:rsid w:val="0010025F"/>
    <w:rsid w:val="00101478"/>
    <w:rsid w:val="001029E6"/>
    <w:rsid w:val="00103583"/>
    <w:rsid w:val="0010458B"/>
    <w:rsid w:val="00104DCC"/>
    <w:rsid w:val="00105DF1"/>
    <w:rsid w:val="001061F5"/>
    <w:rsid w:val="001065B0"/>
    <w:rsid w:val="00106A19"/>
    <w:rsid w:val="001073EA"/>
    <w:rsid w:val="00107C1B"/>
    <w:rsid w:val="0011250A"/>
    <w:rsid w:val="00112874"/>
    <w:rsid w:val="001165B7"/>
    <w:rsid w:val="00116B35"/>
    <w:rsid w:val="00116B3E"/>
    <w:rsid w:val="00120289"/>
    <w:rsid w:val="00120673"/>
    <w:rsid w:val="00121A1B"/>
    <w:rsid w:val="00125688"/>
    <w:rsid w:val="00126CCC"/>
    <w:rsid w:val="00126EE2"/>
    <w:rsid w:val="0012755C"/>
    <w:rsid w:val="00127E0B"/>
    <w:rsid w:val="00133D7D"/>
    <w:rsid w:val="001362E6"/>
    <w:rsid w:val="001369C4"/>
    <w:rsid w:val="00143409"/>
    <w:rsid w:val="00144DD7"/>
    <w:rsid w:val="001453D9"/>
    <w:rsid w:val="001500A2"/>
    <w:rsid w:val="001545DC"/>
    <w:rsid w:val="00161ABB"/>
    <w:rsid w:val="00163796"/>
    <w:rsid w:val="00171129"/>
    <w:rsid w:val="001756D4"/>
    <w:rsid w:val="00176DFC"/>
    <w:rsid w:val="00182C4F"/>
    <w:rsid w:val="0019022D"/>
    <w:rsid w:val="001911F1"/>
    <w:rsid w:val="00191D25"/>
    <w:rsid w:val="001921E1"/>
    <w:rsid w:val="0019504C"/>
    <w:rsid w:val="001951E8"/>
    <w:rsid w:val="001973B1"/>
    <w:rsid w:val="001A02C5"/>
    <w:rsid w:val="001A0DD7"/>
    <w:rsid w:val="001A2048"/>
    <w:rsid w:val="001A22DB"/>
    <w:rsid w:val="001A352E"/>
    <w:rsid w:val="001A394B"/>
    <w:rsid w:val="001A3F9B"/>
    <w:rsid w:val="001A52DD"/>
    <w:rsid w:val="001A6CF6"/>
    <w:rsid w:val="001B12E9"/>
    <w:rsid w:val="001B4D6D"/>
    <w:rsid w:val="001B5F67"/>
    <w:rsid w:val="001C09BE"/>
    <w:rsid w:val="001C35A8"/>
    <w:rsid w:val="001C39E4"/>
    <w:rsid w:val="001C4588"/>
    <w:rsid w:val="001C4715"/>
    <w:rsid w:val="001C4924"/>
    <w:rsid w:val="001D186A"/>
    <w:rsid w:val="001D5478"/>
    <w:rsid w:val="001E13E7"/>
    <w:rsid w:val="001E179F"/>
    <w:rsid w:val="001E3410"/>
    <w:rsid w:val="001E435C"/>
    <w:rsid w:val="001E6229"/>
    <w:rsid w:val="001F4B35"/>
    <w:rsid w:val="001F6326"/>
    <w:rsid w:val="001F7C75"/>
    <w:rsid w:val="00201067"/>
    <w:rsid w:val="002115F8"/>
    <w:rsid w:val="002159AE"/>
    <w:rsid w:val="00217A40"/>
    <w:rsid w:val="00217FAF"/>
    <w:rsid w:val="00220D5E"/>
    <w:rsid w:val="00221526"/>
    <w:rsid w:val="00221F75"/>
    <w:rsid w:val="00222307"/>
    <w:rsid w:val="00222394"/>
    <w:rsid w:val="00224F04"/>
    <w:rsid w:val="0022594F"/>
    <w:rsid w:val="00232DC4"/>
    <w:rsid w:val="002361BA"/>
    <w:rsid w:val="002369CF"/>
    <w:rsid w:val="00237FF1"/>
    <w:rsid w:val="00242DB4"/>
    <w:rsid w:val="00243B61"/>
    <w:rsid w:val="00246DD0"/>
    <w:rsid w:val="00261237"/>
    <w:rsid w:val="00265C65"/>
    <w:rsid w:val="0026632E"/>
    <w:rsid w:val="00267235"/>
    <w:rsid w:val="00271B89"/>
    <w:rsid w:val="00273A26"/>
    <w:rsid w:val="002747C7"/>
    <w:rsid w:val="00274E53"/>
    <w:rsid w:val="002810CE"/>
    <w:rsid w:val="00287F93"/>
    <w:rsid w:val="002948AB"/>
    <w:rsid w:val="00294986"/>
    <w:rsid w:val="002A1FAD"/>
    <w:rsid w:val="002A373D"/>
    <w:rsid w:val="002A6622"/>
    <w:rsid w:val="002B3282"/>
    <w:rsid w:val="002B378B"/>
    <w:rsid w:val="002B5368"/>
    <w:rsid w:val="002B61C4"/>
    <w:rsid w:val="002B6382"/>
    <w:rsid w:val="002B6EAB"/>
    <w:rsid w:val="002B6FDE"/>
    <w:rsid w:val="002C279A"/>
    <w:rsid w:val="002C491C"/>
    <w:rsid w:val="002C5555"/>
    <w:rsid w:val="002C6549"/>
    <w:rsid w:val="002C66BA"/>
    <w:rsid w:val="002C7DC9"/>
    <w:rsid w:val="002C7FC0"/>
    <w:rsid w:val="002D0C3A"/>
    <w:rsid w:val="002D1F07"/>
    <w:rsid w:val="002D20D0"/>
    <w:rsid w:val="002D50CB"/>
    <w:rsid w:val="002D6B8E"/>
    <w:rsid w:val="002D701A"/>
    <w:rsid w:val="002D7E93"/>
    <w:rsid w:val="002E0344"/>
    <w:rsid w:val="002E03D9"/>
    <w:rsid w:val="002E1A71"/>
    <w:rsid w:val="002E316C"/>
    <w:rsid w:val="002E4D4B"/>
    <w:rsid w:val="002F09F8"/>
    <w:rsid w:val="002F1076"/>
    <w:rsid w:val="002F12C4"/>
    <w:rsid w:val="002F373B"/>
    <w:rsid w:val="002F3C2F"/>
    <w:rsid w:val="002F3E1C"/>
    <w:rsid w:val="002F6DF0"/>
    <w:rsid w:val="002F70E0"/>
    <w:rsid w:val="00301495"/>
    <w:rsid w:val="003066BA"/>
    <w:rsid w:val="003068FA"/>
    <w:rsid w:val="00307D2D"/>
    <w:rsid w:val="00311B94"/>
    <w:rsid w:val="00313D13"/>
    <w:rsid w:val="00313F5C"/>
    <w:rsid w:val="00315178"/>
    <w:rsid w:val="00316A37"/>
    <w:rsid w:val="00323AF9"/>
    <w:rsid w:val="003278B1"/>
    <w:rsid w:val="00330CB8"/>
    <w:rsid w:val="003325EF"/>
    <w:rsid w:val="00333B8F"/>
    <w:rsid w:val="00334B6F"/>
    <w:rsid w:val="00334CF5"/>
    <w:rsid w:val="0034162E"/>
    <w:rsid w:val="00342695"/>
    <w:rsid w:val="003436EB"/>
    <w:rsid w:val="00343A46"/>
    <w:rsid w:val="00345C05"/>
    <w:rsid w:val="00346223"/>
    <w:rsid w:val="00346F41"/>
    <w:rsid w:val="003506A2"/>
    <w:rsid w:val="00351612"/>
    <w:rsid w:val="003533A1"/>
    <w:rsid w:val="0035665B"/>
    <w:rsid w:val="00361411"/>
    <w:rsid w:val="003648FC"/>
    <w:rsid w:val="00364AD4"/>
    <w:rsid w:val="00365EB7"/>
    <w:rsid w:val="00371CB4"/>
    <w:rsid w:val="00372398"/>
    <w:rsid w:val="00374868"/>
    <w:rsid w:val="00374E06"/>
    <w:rsid w:val="00380114"/>
    <w:rsid w:val="003826BB"/>
    <w:rsid w:val="00382CE0"/>
    <w:rsid w:val="00386444"/>
    <w:rsid w:val="003935CB"/>
    <w:rsid w:val="00395F90"/>
    <w:rsid w:val="00396B56"/>
    <w:rsid w:val="003A115C"/>
    <w:rsid w:val="003A1B79"/>
    <w:rsid w:val="003A266C"/>
    <w:rsid w:val="003A5DDD"/>
    <w:rsid w:val="003A6517"/>
    <w:rsid w:val="003A6A84"/>
    <w:rsid w:val="003B3D7F"/>
    <w:rsid w:val="003B5C28"/>
    <w:rsid w:val="003B5F73"/>
    <w:rsid w:val="003C1967"/>
    <w:rsid w:val="003C1F85"/>
    <w:rsid w:val="003D07AC"/>
    <w:rsid w:val="003D1053"/>
    <w:rsid w:val="003D58B4"/>
    <w:rsid w:val="003D7DAB"/>
    <w:rsid w:val="003E1368"/>
    <w:rsid w:val="003E13F6"/>
    <w:rsid w:val="003E4DE7"/>
    <w:rsid w:val="003E62A8"/>
    <w:rsid w:val="003E68E7"/>
    <w:rsid w:val="003E6A89"/>
    <w:rsid w:val="003E77A0"/>
    <w:rsid w:val="003E7DA8"/>
    <w:rsid w:val="003F4A4B"/>
    <w:rsid w:val="003F5584"/>
    <w:rsid w:val="003F5A9C"/>
    <w:rsid w:val="00401C7D"/>
    <w:rsid w:val="00403C4A"/>
    <w:rsid w:val="00404867"/>
    <w:rsid w:val="00404B4B"/>
    <w:rsid w:val="00406034"/>
    <w:rsid w:val="00410769"/>
    <w:rsid w:val="004107AF"/>
    <w:rsid w:val="00411162"/>
    <w:rsid w:val="00414967"/>
    <w:rsid w:val="004162CA"/>
    <w:rsid w:val="004176D3"/>
    <w:rsid w:val="00417C71"/>
    <w:rsid w:val="004244A8"/>
    <w:rsid w:val="00424CA1"/>
    <w:rsid w:val="00424D37"/>
    <w:rsid w:val="004268C4"/>
    <w:rsid w:val="00430782"/>
    <w:rsid w:val="0043170C"/>
    <w:rsid w:val="004319F5"/>
    <w:rsid w:val="00433414"/>
    <w:rsid w:val="004340FA"/>
    <w:rsid w:val="00434B3B"/>
    <w:rsid w:val="00435015"/>
    <w:rsid w:val="0043511F"/>
    <w:rsid w:val="004364DD"/>
    <w:rsid w:val="00436C69"/>
    <w:rsid w:val="004437FC"/>
    <w:rsid w:val="004452A8"/>
    <w:rsid w:val="00450422"/>
    <w:rsid w:val="004520FA"/>
    <w:rsid w:val="004548CF"/>
    <w:rsid w:val="00455106"/>
    <w:rsid w:val="00457847"/>
    <w:rsid w:val="004615E7"/>
    <w:rsid w:val="00461A91"/>
    <w:rsid w:val="00461F1A"/>
    <w:rsid w:val="00464144"/>
    <w:rsid w:val="00466EB3"/>
    <w:rsid w:val="0047088F"/>
    <w:rsid w:val="00475D86"/>
    <w:rsid w:val="00482683"/>
    <w:rsid w:val="00482EFF"/>
    <w:rsid w:val="004840AE"/>
    <w:rsid w:val="00484877"/>
    <w:rsid w:val="00484D6D"/>
    <w:rsid w:val="004916A0"/>
    <w:rsid w:val="004935C2"/>
    <w:rsid w:val="004949C3"/>
    <w:rsid w:val="004A0354"/>
    <w:rsid w:val="004A2A3F"/>
    <w:rsid w:val="004A2E19"/>
    <w:rsid w:val="004A4DB1"/>
    <w:rsid w:val="004A55B7"/>
    <w:rsid w:val="004A6920"/>
    <w:rsid w:val="004B0634"/>
    <w:rsid w:val="004B3042"/>
    <w:rsid w:val="004B3E03"/>
    <w:rsid w:val="004B4EEC"/>
    <w:rsid w:val="004B5CC3"/>
    <w:rsid w:val="004C005B"/>
    <w:rsid w:val="004C1F87"/>
    <w:rsid w:val="004C2939"/>
    <w:rsid w:val="004C45EC"/>
    <w:rsid w:val="004C6682"/>
    <w:rsid w:val="004D03C1"/>
    <w:rsid w:val="004D1FD1"/>
    <w:rsid w:val="004D45DF"/>
    <w:rsid w:val="004D4D8F"/>
    <w:rsid w:val="004D7C0F"/>
    <w:rsid w:val="004E0703"/>
    <w:rsid w:val="004E5C6E"/>
    <w:rsid w:val="004E5F2A"/>
    <w:rsid w:val="004E6CF2"/>
    <w:rsid w:val="004F18BF"/>
    <w:rsid w:val="004F3E79"/>
    <w:rsid w:val="004F5606"/>
    <w:rsid w:val="005006CA"/>
    <w:rsid w:val="005041EA"/>
    <w:rsid w:val="00505BB1"/>
    <w:rsid w:val="005078E9"/>
    <w:rsid w:val="00512B83"/>
    <w:rsid w:val="005143D2"/>
    <w:rsid w:val="00517793"/>
    <w:rsid w:val="00520B3E"/>
    <w:rsid w:val="00523C52"/>
    <w:rsid w:val="0052419B"/>
    <w:rsid w:val="00526039"/>
    <w:rsid w:val="005260F0"/>
    <w:rsid w:val="005278D1"/>
    <w:rsid w:val="0053111E"/>
    <w:rsid w:val="00533772"/>
    <w:rsid w:val="00541B16"/>
    <w:rsid w:val="00541E6A"/>
    <w:rsid w:val="00543856"/>
    <w:rsid w:val="0054566B"/>
    <w:rsid w:val="00547E90"/>
    <w:rsid w:val="00550D9F"/>
    <w:rsid w:val="00554C85"/>
    <w:rsid w:val="0056032C"/>
    <w:rsid w:val="00562306"/>
    <w:rsid w:val="0056293B"/>
    <w:rsid w:val="005637A6"/>
    <w:rsid w:val="00566371"/>
    <w:rsid w:val="00567131"/>
    <w:rsid w:val="005672A2"/>
    <w:rsid w:val="005673D6"/>
    <w:rsid w:val="00567C23"/>
    <w:rsid w:val="00567F4B"/>
    <w:rsid w:val="0057053C"/>
    <w:rsid w:val="00572FA1"/>
    <w:rsid w:val="005751AC"/>
    <w:rsid w:val="0057569C"/>
    <w:rsid w:val="00575758"/>
    <w:rsid w:val="00575953"/>
    <w:rsid w:val="00576933"/>
    <w:rsid w:val="00581A53"/>
    <w:rsid w:val="00583D78"/>
    <w:rsid w:val="00583F01"/>
    <w:rsid w:val="00587208"/>
    <w:rsid w:val="0059217C"/>
    <w:rsid w:val="0059461C"/>
    <w:rsid w:val="00597CA0"/>
    <w:rsid w:val="005A190E"/>
    <w:rsid w:val="005A21AF"/>
    <w:rsid w:val="005A32E9"/>
    <w:rsid w:val="005A5218"/>
    <w:rsid w:val="005B0520"/>
    <w:rsid w:val="005B3D85"/>
    <w:rsid w:val="005B4029"/>
    <w:rsid w:val="005B4202"/>
    <w:rsid w:val="005B55A0"/>
    <w:rsid w:val="005B608E"/>
    <w:rsid w:val="005B74AE"/>
    <w:rsid w:val="005C037B"/>
    <w:rsid w:val="005C5CB2"/>
    <w:rsid w:val="005C6907"/>
    <w:rsid w:val="005C736F"/>
    <w:rsid w:val="005C7BF5"/>
    <w:rsid w:val="005D35E1"/>
    <w:rsid w:val="005E02C7"/>
    <w:rsid w:val="005E57F4"/>
    <w:rsid w:val="005F27F3"/>
    <w:rsid w:val="005F5BBD"/>
    <w:rsid w:val="005F6163"/>
    <w:rsid w:val="005F7B9B"/>
    <w:rsid w:val="00601114"/>
    <w:rsid w:val="00602899"/>
    <w:rsid w:val="00604192"/>
    <w:rsid w:val="006100D8"/>
    <w:rsid w:val="0061063B"/>
    <w:rsid w:val="00611E65"/>
    <w:rsid w:val="00612B10"/>
    <w:rsid w:val="00613736"/>
    <w:rsid w:val="00614B77"/>
    <w:rsid w:val="00614C1B"/>
    <w:rsid w:val="00616FF7"/>
    <w:rsid w:val="006174AC"/>
    <w:rsid w:val="00617715"/>
    <w:rsid w:val="00621E1F"/>
    <w:rsid w:val="00623C28"/>
    <w:rsid w:val="006240B3"/>
    <w:rsid w:val="00630CB5"/>
    <w:rsid w:val="00636B84"/>
    <w:rsid w:val="00637518"/>
    <w:rsid w:val="006418C3"/>
    <w:rsid w:val="0064244E"/>
    <w:rsid w:val="0064477D"/>
    <w:rsid w:val="00652241"/>
    <w:rsid w:val="006525B3"/>
    <w:rsid w:val="006539E3"/>
    <w:rsid w:val="00654262"/>
    <w:rsid w:val="00666656"/>
    <w:rsid w:val="0066693A"/>
    <w:rsid w:val="006732F2"/>
    <w:rsid w:val="006735EC"/>
    <w:rsid w:val="00675B7A"/>
    <w:rsid w:val="00675DA5"/>
    <w:rsid w:val="0067736F"/>
    <w:rsid w:val="00687FD1"/>
    <w:rsid w:val="00693A7B"/>
    <w:rsid w:val="00693D4F"/>
    <w:rsid w:val="006940F3"/>
    <w:rsid w:val="00694CEC"/>
    <w:rsid w:val="00696BE2"/>
    <w:rsid w:val="00697A37"/>
    <w:rsid w:val="006A1937"/>
    <w:rsid w:val="006A20F0"/>
    <w:rsid w:val="006A292E"/>
    <w:rsid w:val="006A3E93"/>
    <w:rsid w:val="006A5BEA"/>
    <w:rsid w:val="006A6E9B"/>
    <w:rsid w:val="006B0B74"/>
    <w:rsid w:val="006B1E28"/>
    <w:rsid w:val="006B2F85"/>
    <w:rsid w:val="006B692A"/>
    <w:rsid w:val="006B707A"/>
    <w:rsid w:val="006B7BD3"/>
    <w:rsid w:val="006C0CE6"/>
    <w:rsid w:val="006C1AC9"/>
    <w:rsid w:val="006C27AE"/>
    <w:rsid w:val="006C3694"/>
    <w:rsid w:val="006C48EF"/>
    <w:rsid w:val="006C4DBE"/>
    <w:rsid w:val="006C4E7E"/>
    <w:rsid w:val="006C5344"/>
    <w:rsid w:val="006C724E"/>
    <w:rsid w:val="006D0E7D"/>
    <w:rsid w:val="006D1537"/>
    <w:rsid w:val="006D5222"/>
    <w:rsid w:val="006E0B95"/>
    <w:rsid w:val="006E222E"/>
    <w:rsid w:val="006E2C3E"/>
    <w:rsid w:val="006E3FBE"/>
    <w:rsid w:val="006E50F1"/>
    <w:rsid w:val="006E5AA4"/>
    <w:rsid w:val="006F16E6"/>
    <w:rsid w:val="006F273E"/>
    <w:rsid w:val="006F292C"/>
    <w:rsid w:val="006F3053"/>
    <w:rsid w:val="006F3827"/>
    <w:rsid w:val="006F5788"/>
    <w:rsid w:val="006F7CE8"/>
    <w:rsid w:val="00702330"/>
    <w:rsid w:val="00702697"/>
    <w:rsid w:val="007030FE"/>
    <w:rsid w:val="00707568"/>
    <w:rsid w:val="00711056"/>
    <w:rsid w:val="007126C7"/>
    <w:rsid w:val="00712815"/>
    <w:rsid w:val="00716A40"/>
    <w:rsid w:val="007178C7"/>
    <w:rsid w:val="00721E04"/>
    <w:rsid w:val="007276D6"/>
    <w:rsid w:val="007276EE"/>
    <w:rsid w:val="0073015E"/>
    <w:rsid w:val="00731B5C"/>
    <w:rsid w:val="00734CA7"/>
    <w:rsid w:val="0073502D"/>
    <w:rsid w:val="007353FF"/>
    <w:rsid w:val="00741852"/>
    <w:rsid w:val="007435CD"/>
    <w:rsid w:val="00745F4A"/>
    <w:rsid w:val="007470B9"/>
    <w:rsid w:val="00750446"/>
    <w:rsid w:val="0075658A"/>
    <w:rsid w:val="00760399"/>
    <w:rsid w:val="0076226F"/>
    <w:rsid w:val="007630CB"/>
    <w:rsid w:val="0076328A"/>
    <w:rsid w:val="007638B8"/>
    <w:rsid w:val="0076426C"/>
    <w:rsid w:val="0076532F"/>
    <w:rsid w:val="00767750"/>
    <w:rsid w:val="0077096B"/>
    <w:rsid w:val="007714F1"/>
    <w:rsid w:val="00772275"/>
    <w:rsid w:val="007771A9"/>
    <w:rsid w:val="007837BE"/>
    <w:rsid w:val="00783E37"/>
    <w:rsid w:val="0078467E"/>
    <w:rsid w:val="00785442"/>
    <w:rsid w:val="00787219"/>
    <w:rsid w:val="00790F16"/>
    <w:rsid w:val="0079354E"/>
    <w:rsid w:val="007958C1"/>
    <w:rsid w:val="0079683A"/>
    <w:rsid w:val="00796DD1"/>
    <w:rsid w:val="00797216"/>
    <w:rsid w:val="007A0B4B"/>
    <w:rsid w:val="007A331D"/>
    <w:rsid w:val="007A72E6"/>
    <w:rsid w:val="007B08D4"/>
    <w:rsid w:val="007B5A88"/>
    <w:rsid w:val="007B7AE3"/>
    <w:rsid w:val="007C1B90"/>
    <w:rsid w:val="007C2F6B"/>
    <w:rsid w:val="007C329F"/>
    <w:rsid w:val="007C3D2A"/>
    <w:rsid w:val="007D05D4"/>
    <w:rsid w:val="007D183B"/>
    <w:rsid w:val="007D25B2"/>
    <w:rsid w:val="007D65DE"/>
    <w:rsid w:val="007E19D5"/>
    <w:rsid w:val="007E1A37"/>
    <w:rsid w:val="007E3CF9"/>
    <w:rsid w:val="007E7417"/>
    <w:rsid w:val="007E7CA0"/>
    <w:rsid w:val="007F2462"/>
    <w:rsid w:val="007F29FA"/>
    <w:rsid w:val="007F3C49"/>
    <w:rsid w:val="007F5963"/>
    <w:rsid w:val="007F6C3E"/>
    <w:rsid w:val="008030C2"/>
    <w:rsid w:val="00805319"/>
    <w:rsid w:val="00805B51"/>
    <w:rsid w:val="00814DEC"/>
    <w:rsid w:val="00815480"/>
    <w:rsid w:val="008166C5"/>
    <w:rsid w:val="0082006A"/>
    <w:rsid w:val="00820945"/>
    <w:rsid w:val="008209DC"/>
    <w:rsid w:val="0082122E"/>
    <w:rsid w:val="00821466"/>
    <w:rsid w:val="00822438"/>
    <w:rsid w:val="00824297"/>
    <w:rsid w:val="00824CFD"/>
    <w:rsid w:val="00827B64"/>
    <w:rsid w:val="0083343A"/>
    <w:rsid w:val="00835FAF"/>
    <w:rsid w:val="0083627B"/>
    <w:rsid w:val="00837734"/>
    <w:rsid w:val="00841A05"/>
    <w:rsid w:val="00843417"/>
    <w:rsid w:val="00844FFD"/>
    <w:rsid w:val="00846A10"/>
    <w:rsid w:val="00847CDE"/>
    <w:rsid w:val="00851A70"/>
    <w:rsid w:val="008567F2"/>
    <w:rsid w:val="00864213"/>
    <w:rsid w:val="00865447"/>
    <w:rsid w:val="00867EE1"/>
    <w:rsid w:val="00877A0A"/>
    <w:rsid w:val="008851A2"/>
    <w:rsid w:val="00886E23"/>
    <w:rsid w:val="00887BB7"/>
    <w:rsid w:val="00891A2C"/>
    <w:rsid w:val="00892D64"/>
    <w:rsid w:val="008940EA"/>
    <w:rsid w:val="008A3834"/>
    <w:rsid w:val="008A586F"/>
    <w:rsid w:val="008A6C8B"/>
    <w:rsid w:val="008B1008"/>
    <w:rsid w:val="008B196B"/>
    <w:rsid w:val="008B2AAF"/>
    <w:rsid w:val="008B418C"/>
    <w:rsid w:val="008B57BA"/>
    <w:rsid w:val="008B5877"/>
    <w:rsid w:val="008C0D01"/>
    <w:rsid w:val="008C479E"/>
    <w:rsid w:val="008C539E"/>
    <w:rsid w:val="008D0165"/>
    <w:rsid w:val="008D242A"/>
    <w:rsid w:val="008D31CF"/>
    <w:rsid w:val="008D3236"/>
    <w:rsid w:val="008D4EAF"/>
    <w:rsid w:val="008D5D89"/>
    <w:rsid w:val="008D7EAE"/>
    <w:rsid w:val="008E231C"/>
    <w:rsid w:val="008E31D5"/>
    <w:rsid w:val="008E4CF1"/>
    <w:rsid w:val="008E5915"/>
    <w:rsid w:val="008E79A9"/>
    <w:rsid w:val="008F09FA"/>
    <w:rsid w:val="008F0BC7"/>
    <w:rsid w:val="008F17E7"/>
    <w:rsid w:val="008F3576"/>
    <w:rsid w:val="008F3BC6"/>
    <w:rsid w:val="008F60D7"/>
    <w:rsid w:val="008F69E5"/>
    <w:rsid w:val="008F7166"/>
    <w:rsid w:val="009075A8"/>
    <w:rsid w:val="00914358"/>
    <w:rsid w:val="00917E4A"/>
    <w:rsid w:val="009232F3"/>
    <w:rsid w:val="00930B89"/>
    <w:rsid w:val="0093421F"/>
    <w:rsid w:val="0093657A"/>
    <w:rsid w:val="0094090A"/>
    <w:rsid w:val="00941F76"/>
    <w:rsid w:val="00943F13"/>
    <w:rsid w:val="009520F2"/>
    <w:rsid w:val="00952D09"/>
    <w:rsid w:val="009538DA"/>
    <w:rsid w:val="009559B7"/>
    <w:rsid w:val="00955D71"/>
    <w:rsid w:val="0096046F"/>
    <w:rsid w:val="00965590"/>
    <w:rsid w:val="0096654B"/>
    <w:rsid w:val="00966AB5"/>
    <w:rsid w:val="009670CB"/>
    <w:rsid w:val="0097199F"/>
    <w:rsid w:val="00976B83"/>
    <w:rsid w:val="0098510A"/>
    <w:rsid w:val="009858F8"/>
    <w:rsid w:val="00986351"/>
    <w:rsid w:val="00990905"/>
    <w:rsid w:val="00992197"/>
    <w:rsid w:val="0099313F"/>
    <w:rsid w:val="009957C5"/>
    <w:rsid w:val="0099712C"/>
    <w:rsid w:val="009A0424"/>
    <w:rsid w:val="009A2639"/>
    <w:rsid w:val="009A2D2D"/>
    <w:rsid w:val="009A42F6"/>
    <w:rsid w:val="009A5867"/>
    <w:rsid w:val="009A5B49"/>
    <w:rsid w:val="009A7110"/>
    <w:rsid w:val="009B0999"/>
    <w:rsid w:val="009B1D14"/>
    <w:rsid w:val="009B5071"/>
    <w:rsid w:val="009B55BE"/>
    <w:rsid w:val="009B60BB"/>
    <w:rsid w:val="009B61AD"/>
    <w:rsid w:val="009B7F69"/>
    <w:rsid w:val="009C2568"/>
    <w:rsid w:val="009C3A45"/>
    <w:rsid w:val="009C4C06"/>
    <w:rsid w:val="009C7329"/>
    <w:rsid w:val="009D04E2"/>
    <w:rsid w:val="009D764A"/>
    <w:rsid w:val="009E0106"/>
    <w:rsid w:val="009E324F"/>
    <w:rsid w:val="009E6793"/>
    <w:rsid w:val="009F0C19"/>
    <w:rsid w:val="009F0CB7"/>
    <w:rsid w:val="009F2B1D"/>
    <w:rsid w:val="009F3B5F"/>
    <w:rsid w:val="009F3DE8"/>
    <w:rsid w:val="009F52DF"/>
    <w:rsid w:val="009F7BF7"/>
    <w:rsid w:val="00A0053D"/>
    <w:rsid w:val="00A00DBC"/>
    <w:rsid w:val="00A0214B"/>
    <w:rsid w:val="00A02E33"/>
    <w:rsid w:val="00A05D33"/>
    <w:rsid w:val="00A06787"/>
    <w:rsid w:val="00A1022C"/>
    <w:rsid w:val="00A113E9"/>
    <w:rsid w:val="00A12BE7"/>
    <w:rsid w:val="00A1485E"/>
    <w:rsid w:val="00A2128D"/>
    <w:rsid w:val="00A21D7F"/>
    <w:rsid w:val="00A22C78"/>
    <w:rsid w:val="00A22F29"/>
    <w:rsid w:val="00A242A8"/>
    <w:rsid w:val="00A35D8D"/>
    <w:rsid w:val="00A37AFF"/>
    <w:rsid w:val="00A41045"/>
    <w:rsid w:val="00A41796"/>
    <w:rsid w:val="00A43020"/>
    <w:rsid w:val="00A44231"/>
    <w:rsid w:val="00A455B6"/>
    <w:rsid w:val="00A46BC3"/>
    <w:rsid w:val="00A5102C"/>
    <w:rsid w:val="00A56DF1"/>
    <w:rsid w:val="00A57711"/>
    <w:rsid w:val="00A57DC6"/>
    <w:rsid w:val="00A602C2"/>
    <w:rsid w:val="00A61485"/>
    <w:rsid w:val="00A65907"/>
    <w:rsid w:val="00A66F3E"/>
    <w:rsid w:val="00A73007"/>
    <w:rsid w:val="00A75E03"/>
    <w:rsid w:val="00A7670F"/>
    <w:rsid w:val="00A80AD8"/>
    <w:rsid w:val="00A82E38"/>
    <w:rsid w:val="00A8532A"/>
    <w:rsid w:val="00A871BF"/>
    <w:rsid w:val="00A9194A"/>
    <w:rsid w:val="00A93375"/>
    <w:rsid w:val="00A9366B"/>
    <w:rsid w:val="00A94BB2"/>
    <w:rsid w:val="00A95CC5"/>
    <w:rsid w:val="00A978EB"/>
    <w:rsid w:val="00AA067A"/>
    <w:rsid w:val="00AA52F9"/>
    <w:rsid w:val="00AA5988"/>
    <w:rsid w:val="00AA7302"/>
    <w:rsid w:val="00AA7726"/>
    <w:rsid w:val="00AB13F2"/>
    <w:rsid w:val="00AB1695"/>
    <w:rsid w:val="00AB1E53"/>
    <w:rsid w:val="00AB45DA"/>
    <w:rsid w:val="00AB4ADC"/>
    <w:rsid w:val="00AC223E"/>
    <w:rsid w:val="00AC5ACC"/>
    <w:rsid w:val="00AC609F"/>
    <w:rsid w:val="00AC791F"/>
    <w:rsid w:val="00AD1DB6"/>
    <w:rsid w:val="00AD3AC7"/>
    <w:rsid w:val="00AD6BA1"/>
    <w:rsid w:val="00AD72F1"/>
    <w:rsid w:val="00AD7A38"/>
    <w:rsid w:val="00AE025E"/>
    <w:rsid w:val="00AE10C4"/>
    <w:rsid w:val="00AE1B6E"/>
    <w:rsid w:val="00AE2792"/>
    <w:rsid w:val="00AE3E01"/>
    <w:rsid w:val="00AE54D8"/>
    <w:rsid w:val="00AE6878"/>
    <w:rsid w:val="00AF24D8"/>
    <w:rsid w:val="00AF2A46"/>
    <w:rsid w:val="00AF447C"/>
    <w:rsid w:val="00B0070C"/>
    <w:rsid w:val="00B01FBB"/>
    <w:rsid w:val="00B03FDF"/>
    <w:rsid w:val="00B052C6"/>
    <w:rsid w:val="00B05B2D"/>
    <w:rsid w:val="00B05CF1"/>
    <w:rsid w:val="00B07B85"/>
    <w:rsid w:val="00B07B90"/>
    <w:rsid w:val="00B11043"/>
    <w:rsid w:val="00B1146A"/>
    <w:rsid w:val="00B138FE"/>
    <w:rsid w:val="00B1406D"/>
    <w:rsid w:val="00B16B66"/>
    <w:rsid w:val="00B16EAD"/>
    <w:rsid w:val="00B205CB"/>
    <w:rsid w:val="00B206DE"/>
    <w:rsid w:val="00B21A4E"/>
    <w:rsid w:val="00B228F1"/>
    <w:rsid w:val="00B26650"/>
    <w:rsid w:val="00B26975"/>
    <w:rsid w:val="00B3425A"/>
    <w:rsid w:val="00B348CF"/>
    <w:rsid w:val="00B36AF7"/>
    <w:rsid w:val="00B37BD0"/>
    <w:rsid w:val="00B4194C"/>
    <w:rsid w:val="00B421E3"/>
    <w:rsid w:val="00B42367"/>
    <w:rsid w:val="00B43575"/>
    <w:rsid w:val="00B445D5"/>
    <w:rsid w:val="00B44920"/>
    <w:rsid w:val="00B451B8"/>
    <w:rsid w:val="00B45640"/>
    <w:rsid w:val="00B4672E"/>
    <w:rsid w:val="00B50224"/>
    <w:rsid w:val="00B510D7"/>
    <w:rsid w:val="00B52AF9"/>
    <w:rsid w:val="00B537DB"/>
    <w:rsid w:val="00B53BB0"/>
    <w:rsid w:val="00B55DB9"/>
    <w:rsid w:val="00B55E1B"/>
    <w:rsid w:val="00B568B9"/>
    <w:rsid w:val="00B5719E"/>
    <w:rsid w:val="00B64589"/>
    <w:rsid w:val="00B67B3D"/>
    <w:rsid w:val="00B709C6"/>
    <w:rsid w:val="00B71F45"/>
    <w:rsid w:val="00B74008"/>
    <w:rsid w:val="00B76C32"/>
    <w:rsid w:val="00B7753E"/>
    <w:rsid w:val="00B81D69"/>
    <w:rsid w:val="00B8302B"/>
    <w:rsid w:val="00B84069"/>
    <w:rsid w:val="00B84073"/>
    <w:rsid w:val="00B865E5"/>
    <w:rsid w:val="00B90C72"/>
    <w:rsid w:val="00B93474"/>
    <w:rsid w:val="00B943A8"/>
    <w:rsid w:val="00B94ABE"/>
    <w:rsid w:val="00B94FE7"/>
    <w:rsid w:val="00B9584F"/>
    <w:rsid w:val="00B964F2"/>
    <w:rsid w:val="00B96AC2"/>
    <w:rsid w:val="00B972CE"/>
    <w:rsid w:val="00BA0800"/>
    <w:rsid w:val="00BA0A4F"/>
    <w:rsid w:val="00BA0AD1"/>
    <w:rsid w:val="00BA2FB8"/>
    <w:rsid w:val="00BA3ABD"/>
    <w:rsid w:val="00BA4D42"/>
    <w:rsid w:val="00BA7CC0"/>
    <w:rsid w:val="00BB06F5"/>
    <w:rsid w:val="00BB0D0D"/>
    <w:rsid w:val="00BB256B"/>
    <w:rsid w:val="00BB4609"/>
    <w:rsid w:val="00BB79B7"/>
    <w:rsid w:val="00BC156B"/>
    <w:rsid w:val="00BC1FD5"/>
    <w:rsid w:val="00BC4A4D"/>
    <w:rsid w:val="00BC662C"/>
    <w:rsid w:val="00BD3184"/>
    <w:rsid w:val="00BD3786"/>
    <w:rsid w:val="00BD3D00"/>
    <w:rsid w:val="00BD5D25"/>
    <w:rsid w:val="00BE130C"/>
    <w:rsid w:val="00BE293E"/>
    <w:rsid w:val="00BE2B17"/>
    <w:rsid w:val="00BE3BB7"/>
    <w:rsid w:val="00BE7340"/>
    <w:rsid w:val="00BF44D9"/>
    <w:rsid w:val="00BF4BDA"/>
    <w:rsid w:val="00BF79DC"/>
    <w:rsid w:val="00C04A51"/>
    <w:rsid w:val="00C05B72"/>
    <w:rsid w:val="00C05FA5"/>
    <w:rsid w:val="00C07E99"/>
    <w:rsid w:val="00C110BB"/>
    <w:rsid w:val="00C121C5"/>
    <w:rsid w:val="00C200F4"/>
    <w:rsid w:val="00C222EF"/>
    <w:rsid w:val="00C2233C"/>
    <w:rsid w:val="00C23104"/>
    <w:rsid w:val="00C232D1"/>
    <w:rsid w:val="00C274B8"/>
    <w:rsid w:val="00C3085C"/>
    <w:rsid w:val="00C34999"/>
    <w:rsid w:val="00C355DF"/>
    <w:rsid w:val="00C36A66"/>
    <w:rsid w:val="00C3728E"/>
    <w:rsid w:val="00C374A7"/>
    <w:rsid w:val="00C40318"/>
    <w:rsid w:val="00C42194"/>
    <w:rsid w:val="00C43404"/>
    <w:rsid w:val="00C44415"/>
    <w:rsid w:val="00C44998"/>
    <w:rsid w:val="00C458C9"/>
    <w:rsid w:val="00C50225"/>
    <w:rsid w:val="00C5170F"/>
    <w:rsid w:val="00C51B3C"/>
    <w:rsid w:val="00C51D5A"/>
    <w:rsid w:val="00C51E4C"/>
    <w:rsid w:val="00C57184"/>
    <w:rsid w:val="00C61160"/>
    <w:rsid w:val="00C61350"/>
    <w:rsid w:val="00C638F1"/>
    <w:rsid w:val="00C64FB0"/>
    <w:rsid w:val="00C6537B"/>
    <w:rsid w:val="00C750C9"/>
    <w:rsid w:val="00C75BE9"/>
    <w:rsid w:val="00C75D60"/>
    <w:rsid w:val="00C827B2"/>
    <w:rsid w:val="00C82F01"/>
    <w:rsid w:val="00C8578D"/>
    <w:rsid w:val="00C86916"/>
    <w:rsid w:val="00C87DC8"/>
    <w:rsid w:val="00C90E8C"/>
    <w:rsid w:val="00C912C8"/>
    <w:rsid w:val="00C91380"/>
    <w:rsid w:val="00C9157F"/>
    <w:rsid w:val="00C924BB"/>
    <w:rsid w:val="00C92802"/>
    <w:rsid w:val="00C92854"/>
    <w:rsid w:val="00C92869"/>
    <w:rsid w:val="00C942E9"/>
    <w:rsid w:val="00C950EC"/>
    <w:rsid w:val="00C9576D"/>
    <w:rsid w:val="00C95F53"/>
    <w:rsid w:val="00CA0847"/>
    <w:rsid w:val="00CA5612"/>
    <w:rsid w:val="00CA5BC8"/>
    <w:rsid w:val="00CA7AC2"/>
    <w:rsid w:val="00CB3150"/>
    <w:rsid w:val="00CB3506"/>
    <w:rsid w:val="00CB38F2"/>
    <w:rsid w:val="00CB684B"/>
    <w:rsid w:val="00CC3D41"/>
    <w:rsid w:val="00CD3D18"/>
    <w:rsid w:val="00CD4202"/>
    <w:rsid w:val="00CD46E0"/>
    <w:rsid w:val="00CD5AD7"/>
    <w:rsid w:val="00CD5B0E"/>
    <w:rsid w:val="00CE0F62"/>
    <w:rsid w:val="00CE1D19"/>
    <w:rsid w:val="00CE517D"/>
    <w:rsid w:val="00CE7B59"/>
    <w:rsid w:val="00CF4942"/>
    <w:rsid w:val="00D01442"/>
    <w:rsid w:val="00D01B96"/>
    <w:rsid w:val="00D02E82"/>
    <w:rsid w:val="00D02ECF"/>
    <w:rsid w:val="00D03614"/>
    <w:rsid w:val="00D05EEE"/>
    <w:rsid w:val="00D06E1A"/>
    <w:rsid w:val="00D144AD"/>
    <w:rsid w:val="00D15BF1"/>
    <w:rsid w:val="00D15F88"/>
    <w:rsid w:val="00D17C68"/>
    <w:rsid w:val="00D22C88"/>
    <w:rsid w:val="00D22EF5"/>
    <w:rsid w:val="00D257EF"/>
    <w:rsid w:val="00D25924"/>
    <w:rsid w:val="00D27915"/>
    <w:rsid w:val="00D32901"/>
    <w:rsid w:val="00D32E9C"/>
    <w:rsid w:val="00D3791C"/>
    <w:rsid w:val="00D40BC3"/>
    <w:rsid w:val="00D41673"/>
    <w:rsid w:val="00D416AE"/>
    <w:rsid w:val="00D42AEA"/>
    <w:rsid w:val="00D43058"/>
    <w:rsid w:val="00D44E08"/>
    <w:rsid w:val="00D45A2F"/>
    <w:rsid w:val="00D47066"/>
    <w:rsid w:val="00D525EC"/>
    <w:rsid w:val="00D574F1"/>
    <w:rsid w:val="00D6058F"/>
    <w:rsid w:val="00D605D4"/>
    <w:rsid w:val="00D61B5F"/>
    <w:rsid w:val="00D63BF4"/>
    <w:rsid w:val="00D70708"/>
    <w:rsid w:val="00D710D5"/>
    <w:rsid w:val="00D71426"/>
    <w:rsid w:val="00D72280"/>
    <w:rsid w:val="00D73B58"/>
    <w:rsid w:val="00D745C3"/>
    <w:rsid w:val="00D7619E"/>
    <w:rsid w:val="00D773A5"/>
    <w:rsid w:val="00D77B41"/>
    <w:rsid w:val="00D828C4"/>
    <w:rsid w:val="00D8294A"/>
    <w:rsid w:val="00D84F2E"/>
    <w:rsid w:val="00D85231"/>
    <w:rsid w:val="00D85EDD"/>
    <w:rsid w:val="00D903E7"/>
    <w:rsid w:val="00D92DCA"/>
    <w:rsid w:val="00D92FFB"/>
    <w:rsid w:val="00D9644C"/>
    <w:rsid w:val="00D96881"/>
    <w:rsid w:val="00D97018"/>
    <w:rsid w:val="00DA1080"/>
    <w:rsid w:val="00DA12AF"/>
    <w:rsid w:val="00DA2752"/>
    <w:rsid w:val="00DA2A72"/>
    <w:rsid w:val="00DA2DA6"/>
    <w:rsid w:val="00DA5626"/>
    <w:rsid w:val="00DA57AF"/>
    <w:rsid w:val="00DA78E9"/>
    <w:rsid w:val="00DB0631"/>
    <w:rsid w:val="00DB19B3"/>
    <w:rsid w:val="00DB1C17"/>
    <w:rsid w:val="00DB48DB"/>
    <w:rsid w:val="00DC0C2A"/>
    <w:rsid w:val="00DC4298"/>
    <w:rsid w:val="00DC7819"/>
    <w:rsid w:val="00DD203F"/>
    <w:rsid w:val="00DD2A3B"/>
    <w:rsid w:val="00DD35E1"/>
    <w:rsid w:val="00DD5F56"/>
    <w:rsid w:val="00DD6B61"/>
    <w:rsid w:val="00DD6EC6"/>
    <w:rsid w:val="00DD79E6"/>
    <w:rsid w:val="00DE0570"/>
    <w:rsid w:val="00DE086E"/>
    <w:rsid w:val="00DE0B17"/>
    <w:rsid w:val="00DE395F"/>
    <w:rsid w:val="00DE3BB1"/>
    <w:rsid w:val="00DE3D06"/>
    <w:rsid w:val="00DE5276"/>
    <w:rsid w:val="00DF1766"/>
    <w:rsid w:val="00DF4D25"/>
    <w:rsid w:val="00DF7B6C"/>
    <w:rsid w:val="00E00592"/>
    <w:rsid w:val="00E0091F"/>
    <w:rsid w:val="00E00D05"/>
    <w:rsid w:val="00E023B1"/>
    <w:rsid w:val="00E030BB"/>
    <w:rsid w:val="00E03A0A"/>
    <w:rsid w:val="00E03BBC"/>
    <w:rsid w:val="00E0438E"/>
    <w:rsid w:val="00E04D5A"/>
    <w:rsid w:val="00E05360"/>
    <w:rsid w:val="00E056FF"/>
    <w:rsid w:val="00E05BD1"/>
    <w:rsid w:val="00E06974"/>
    <w:rsid w:val="00E07139"/>
    <w:rsid w:val="00E10C4B"/>
    <w:rsid w:val="00E13E63"/>
    <w:rsid w:val="00E15C25"/>
    <w:rsid w:val="00E16AA2"/>
    <w:rsid w:val="00E17733"/>
    <w:rsid w:val="00E17D08"/>
    <w:rsid w:val="00E25D48"/>
    <w:rsid w:val="00E2714D"/>
    <w:rsid w:val="00E31D24"/>
    <w:rsid w:val="00E31DCD"/>
    <w:rsid w:val="00E35776"/>
    <w:rsid w:val="00E365E5"/>
    <w:rsid w:val="00E44DE5"/>
    <w:rsid w:val="00E44E8F"/>
    <w:rsid w:val="00E458D2"/>
    <w:rsid w:val="00E464FC"/>
    <w:rsid w:val="00E54B61"/>
    <w:rsid w:val="00E57625"/>
    <w:rsid w:val="00E57D86"/>
    <w:rsid w:val="00E6079F"/>
    <w:rsid w:val="00E60BDB"/>
    <w:rsid w:val="00E62720"/>
    <w:rsid w:val="00E64682"/>
    <w:rsid w:val="00E66508"/>
    <w:rsid w:val="00E676D7"/>
    <w:rsid w:val="00E71146"/>
    <w:rsid w:val="00E7382C"/>
    <w:rsid w:val="00E741CE"/>
    <w:rsid w:val="00E752E6"/>
    <w:rsid w:val="00E75D7F"/>
    <w:rsid w:val="00E823BD"/>
    <w:rsid w:val="00E86029"/>
    <w:rsid w:val="00E90736"/>
    <w:rsid w:val="00E9790C"/>
    <w:rsid w:val="00EA03FC"/>
    <w:rsid w:val="00EA0471"/>
    <w:rsid w:val="00EA1EEE"/>
    <w:rsid w:val="00EA2E1B"/>
    <w:rsid w:val="00EA30E4"/>
    <w:rsid w:val="00EA56CB"/>
    <w:rsid w:val="00EA685F"/>
    <w:rsid w:val="00EA74DD"/>
    <w:rsid w:val="00EB0C66"/>
    <w:rsid w:val="00EB3A29"/>
    <w:rsid w:val="00EB3C23"/>
    <w:rsid w:val="00EB54D4"/>
    <w:rsid w:val="00EB7249"/>
    <w:rsid w:val="00EC5A62"/>
    <w:rsid w:val="00ED1A7C"/>
    <w:rsid w:val="00ED43BF"/>
    <w:rsid w:val="00ED63D6"/>
    <w:rsid w:val="00EE3351"/>
    <w:rsid w:val="00EE6185"/>
    <w:rsid w:val="00EF0243"/>
    <w:rsid w:val="00EF0995"/>
    <w:rsid w:val="00EF588D"/>
    <w:rsid w:val="00EF6075"/>
    <w:rsid w:val="00EF73B1"/>
    <w:rsid w:val="00EF7B64"/>
    <w:rsid w:val="00F016AA"/>
    <w:rsid w:val="00F0280D"/>
    <w:rsid w:val="00F0348E"/>
    <w:rsid w:val="00F07A32"/>
    <w:rsid w:val="00F13874"/>
    <w:rsid w:val="00F166A6"/>
    <w:rsid w:val="00F21242"/>
    <w:rsid w:val="00F21E28"/>
    <w:rsid w:val="00F2720B"/>
    <w:rsid w:val="00F35177"/>
    <w:rsid w:val="00F45863"/>
    <w:rsid w:val="00F45FA7"/>
    <w:rsid w:val="00F47DD1"/>
    <w:rsid w:val="00F5122F"/>
    <w:rsid w:val="00F53C56"/>
    <w:rsid w:val="00F55C68"/>
    <w:rsid w:val="00F5780C"/>
    <w:rsid w:val="00F61B90"/>
    <w:rsid w:val="00F63D09"/>
    <w:rsid w:val="00F64600"/>
    <w:rsid w:val="00F7151F"/>
    <w:rsid w:val="00F7488B"/>
    <w:rsid w:val="00F8184F"/>
    <w:rsid w:val="00F926CD"/>
    <w:rsid w:val="00F964B3"/>
    <w:rsid w:val="00F96514"/>
    <w:rsid w:val="00FA0857"/>
    <w:rsid w:val="00FA102B"/>
    <w:rsid w:val="00FA1636"/>
    <w:rsid w:val="00FA16E0"/>
    <w:rsid w:val="00FA2160"/>
    <w:rsid w:val="00FA607A"/>
    <w:rsid w:val="00FA69E2"/>
    <w:rsid w:val="00FB13EC"/>
    <w:rsid w:val="00FB5143"/>
    <w:rsid w:val="00FB5908"/>
    <w:rsid w:val="00FB5C68"/>
    <w:rsid w:val="00FB69FC"/>
    <w:rsid w:val="00FC0219"/>
    <w:rsid w:val="00FC0DF4"/>
    <w:rsid w:val="00FC13EA"/>
    <w:rsid w:val="00FD0E59"/>
    <w:rsid w:val="00FD5BDD"/>
    <w:rsid w:val="00FD670B"/>
    <w:rsid w:val="00FE0895"/>
    <w:rsid w:val="00FE13EC"/>
    <w:rsid w:val="00FE2599"/>
    <w:rsid w:val="00FE295B"/>
    <w:rsid w:val="00FE6E68"/>
    <w:rsid w:val="00FE7700"/>
    <w:rsid w:val="00FF2D8A"/>
    <w:rsid w:val="00FF3788"/>
    <w:rsid w:val="00FF4E70"/>
    <w:rsid w:val="00FF569F"/>
    <w:rsid w:val="00FF7C14"/>
    <w:rsid w:val="00FF7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3C3A"/>
    <w:rPr>
      <w:sz w:val="24"/>
      <w:szCs w:val="24"/>
    </w:rPr>
  </w:style>
  <w:style w:type="paragraph" w:styleId="Titolo1">
    <w:name w:val="heading 1"/>
    <w:basedOn w:val="Normale"/>
    <w:next w:val="Normale"/>
    <w:link w:val="Titolo1Carattere"/>
    <w:uiPriority w:val="99"/>
    <w:qFormat/>
    <w:rsid w:val="00436C69"/>
    <w:pPr>
      <w:keepNext/>
      <w:outlineLvl w:val="0"/>
    </w:pPr>
    <w:rPr>
      <w:b/>
      <w:bCs/>
      <w:sz w:val="32"/>
    </w:rPr>
  </w:style>
  <w:style w:type="paragraph" w:styleId="Titolo3">
    <w:name w:val="heading 3"/>
    <w:basedOn w:val="Normale"/>
    <w:next w:val="Normale"/>
    <w:link w:val="Titolo3Carattere"/>
    <w:uiPriority w:val="99"/>
    <w:qFormat/>
    <w:rsid w:val="00436C69"/>
    <w:pPr>
      <w:keepNext/>
      <w:jc w:val="center"/>
      <w:outlineLvl w:val="2"/>
    </w:pPr>
    <w:rPr>
      <w:b/>
      <w:bCs/>
      <w:sz w:val="28"/>
      <w:u w:val="single"/>
    </w:rPr>
  </w:style>
  <w:style w:type="paragraph" w:styleId="Titolo5">
    <w:name w:val="heading 5"/>
    <w:basedOn w:val="Normale"/>
    <w:next w:val="Normale"/>
    <w:link w:val="Titolo5Carattere"/>
    <w:uiPriority w:val="99"/>
    <w:qFormat/>
    <w:rsid w:val="00087DA4"/>
    <w:pPr>
      <w:keepNext/>
      <w:keepLines/>
      <w:spacing w:before="200"/>
      <w:outlineLvl w:val="4"/>
    </w:pPr>
    <w:rPr>
      <w:rFonts w:ascii="Cambria"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5Carattere">
    <w:name w:val="Titolo 5 Carattere"/>
    <w:basedOn w:val="Carpredefinitoparagrafo"/>
    <w:link w:val="Titolo5"/>
    <w:uiPriority w:val="99"/>
    <w:locked/>
    <w:rsid w:val="00087DA4"/>
    <w:rPr>
      <w:rFonts w:ascii="Cambria" w:hAnsi="Cambria" w:cs="Times New Roman"/>
      <w:color w:val="243F60"/>
      <w:sz w:val="24"/>
      <w:szCs w:val="24"/>
    </w:rPr>
  </w:style>
  <w:style w:type="paragraph" w:styleId="Intestazione">
    <w:name w:val="header"/>
    <w:basedOn w:val="Normale"/>
    <w:link w:val="IntestazioneCarattere"/>
    <w:uiPriority w:val="99"/>
    <w:rsid w:val="007030FE"/>
    <w:pPr>
      <w:tabs>
        <w:tab w:val="center" w:pos="4819"/>
        <w:tab w:val="right" w:pos="9638"/>
      </w:tabs>
    </w:pPr>
  </w:style>
  <w:style w:type="character" w:customStyle="1" w:styleId="IntestazioneCarattere">
    <w:name w:val="Intestazione Carattere"/>
    <w:basedOn w:val="Carpredefinitoparagrafo"/>
    <w:link w:val="Intestazione"/>
    <w:uiPriority w:val="99"/>
    <w:locked/>
    <w:rsid w:val="00694CEC"/>
    <w:rPr>
      <w:rFonts w:cs="Times New Roman"/>
      <w:sz w:val="24"/>
      <w:szCs w:val="24"/>
    </w:rPr>
  </w:style>
  <w:style w:type="paragraph" w:styleId="Pidipagina">
    <w:name w:val="footer"/>
    <w:basedOn w:val="Normale"/>
    <w:link w:val="PidipaginaCarattere"/>
    <w:uiPriority w:val="99"/>
    <w:rsid w:val="007030FE"/>
    <w:pPr>
      <w:tabs>
        <w:tab w:val="center" w:pos="4819"/>
        <w:tab w:val="right" w:pos="9638"/>
      </w:tabs>
    </w:pPr>
  </w:style>
  <w:style w:type="character" w:customStyle="1" w:styleId="PidipaginaCarattere">
    <w:name w:val="Piè di pagina Carattere"/>
    <w:basedOn w:val="Carpredefinitoparagrafo"/>
    <w:link w:val="Pidipagina"/>
    <w:uiPriority w:val="99"/>
    <w:locked/>
    <w:rsid w:val="000F2869"/>
    <w:rPr>
      <w:rFonts w:cs="Times New Roman"/>
      <w:sz w:val="24"/>
      <w:szCs w:val="24"/>
    </w:rPr>
  </w:style>
  <w:style w:type="table" w:styleId="Grigliatabella">
    <w:name w:val="Table Grid"/>
    <w:basedOn w:val="Tabellanormale"/>
    <w:uiPriority w:val="99"/>
    <w:rsid w:val="007030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7030FE"/>
    <w:rPr>
      <w:rFonts w:cs="Times New Roman"/>
      <w:color w:val="0000FF"/>
      <w:u w:val="single"/>
    </w:rPr>
  </w:style>
  <w:style w:type="paragraph" w:styleId="Testofumetto">
    <w:name w:val="Balloon Text"/>
    <w:basedOn w:val="Normale"/>
    <w:link w:val="TestofumettoCarattere"/>
    <w:uiPriority w:val="99"/>
    <w:semiHidden/>
    <w:rsid w:val="007030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paragraph" w:styleId="Corpotesto">
    <w:name w:val="Body Text"/>
    <w:basedOn w:val="Normale"/>
    <w:link w:val="CorpotestoCarattere"/>
    <w:uiPriority w:val="99"/>
    <w:rsid w:val="00436C69"/>
    <w:rPr>
      <w:sz w:val="32"/>
    </w:rPr>
  </w:style>
  <w:style w:type="character" w:customStyle="1" w:styleId="CorpotestoCarattere">
    <w:name w:val="Corpo testo Carattere"/>
    <w:basedOn w:val="Carpredefinitoparagrafo"/>
    <w:link w:val="Corpotesto"/>
    <w:uiPriority w:val="99"/>
    <w:locked/>
    <w:rsid w:val="00D02E82"/>
    <w:rPr>
      <w:rFonts w:cs="Times New Roman"/>
      <w:sz w:val="24"/>
      <w:szCs w:val="24"/>
    </w:rPr>
  </w:style>
  <w:style w:type="paragraph" w:customStyle="1" w:styleId="Rapportocda">
    <w:name w:val="Rapporto cda"/>
    <w:basedOn w:val="Corpotesto"/>
    <w:uiPriority w:val="99"/>
    <w:rsid w:val="00395F90"/>
    <w:pPr>
      <w:spacing w:after="120"/>
      <w:jc w:val="both"/>
    </w:pPr>
    <w:rPr>
      <w:rFonts w:ascii="Arial" w:hAnsi="Arial"/>
      <w:sz w:val="22"/>
    </w:rPr>
  </w:style>
  <w:style w:type="paragraph" w:styleId="Mappadocumento">
    <w:name w:val="Document Map"/>
    <w:basedOn w:val="Normale"/>
    <w:link w:val="MappadocumentoCarattere"/>
    <w:uiPriority w:val="99"/>
    <w:semiHidden/>
    <w:rsid w:val="00133D7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cs="Times New Roman"/>
      <w:sz w:val="2"/>
    </w:rPr>
  </w:style>
  <w:style w:type="paragraph" w:styleId="NormaleWeb">
    <w:name w:val="Normal (Web)"/>
    <w:basedOn w:val="Normale"/>
    <w:uiPriority w:val="99"/>
    <w:rsid w:val="00DD6B61"/>
    <w:pPr>
      <w:spacing w:before="100" w:beforeAutospacing="1" w:after="100" w:afterAutospacing="1"/>
    </w:pPr>
  </w:style>
  <w:style w:type="paragraph" w:customStyle="1" w:styleId="Paragrafoelenco1">
    <w:name w:val="Paragrafo elenco1"/>
    <w:basedOn w:val="Normale"/>
    <w:uiPriority w:val="99"/>
    <w:rsid w:val="00333B8F"/>
    <w:pPr>
      <w:spacing w:after="200" w:line="276" w:lineRule="auto"/>
      <w:ind w:left="720"/>
    </w:pPr>
    <w:rPr>
      <w:rFonts w:ascii="Calibri" w:hAnsi="Calibri"/>
      <w:sz w:val="22"/>
      <w:szCs w:val="22"/>
      <w:lang w:eastAsia="en-US"/>
    </w:rPr>
  </w:style>
  <w:style w:type="character" w:styleId="Enfasigrassetto">
    <w:name w:val="Strong"/>
    <w:basedOn w:val="Carpredefinitoparagrafo"/>
    <w:uiPriority w:val="99"/>
    <w:qFormat/>
    <w:rsid w:val="00371CB4"/>
    <w:rPr>
      <w:rFonts w:cs="Times New Roman"/>
      <w:b/>
      <w:bCs/>
    </w:rPr>
  </w:style>
  <w:style w:type="paragraph" w:styleId="Paragrafoelenco">
    <w:name w:val="List Paragraph"/>
    <w:basedOn w:val="Normale"/>
    <w:uiPriority w:val="99"/>
    <w:qFormat/>
    <w:rsid w:val="00371CB4"/>
    <w:pPr>
      <w:spacing w:after="200" w:line="276" w:lineRule="auto"/>
      <w:ind w:left="720"/>
      <w:contextualSpacing/>
    </w:pPr>
    <w:rPr>
      <w:rFonts w:ascii="Calibri" w:hAnsi="Calibri"/>
      <w:sz w:val="22"/>
      <w:szCs w:val="22"/>
      <w:lang w:eastAsia="en-US"/>
    </w:rPr>
  </w:style>
  <w:style w:type="character" w:customStyle="1" w:styleId="stile21">
    <w:name w:val="stile21"/>
    <w:basedOn w:val="Carpredefinitoparagrafo"/>
    <w:uiPriority w:val="99"/>
    <w:rsid w:val="004916A0"/>
    <w:rPr>
      <w:rFonts w:cs="Times New Roman"/>
      <w:sz w:val="27"/>
      <w:szCs w:val="27"/>
    </w:rPr>
  </w:style>
  <w:style w:type="character" w:customStyle="1" w:styleId="apple-style-span">
    <w:name w:val="apple-style-span"/>
    <w:basedOn w:val="Carpredefinitoparagrafo"/>
    <w:uiPriority w:val="99"/>
    <w:rsid w:val="001911F1"/>
    <w:rPr>
      <w:rFonts w:cs="Times New Roman"/>
    </w:rPr>
  </w:style>
  <w:style w:type="character" w:styleId="Collegamentovisitato">
    <w:name w:val="FollowedHyperlink"/>
    <w:basedOn w:val="Carpredefinitoparagrafo"/>
    <w:uiPriority w:val="99"/>
    <w:rsid w:val="0059217C"/>
    <w:rPr>
      <w:rFonts w:cs="Times New Roman"/>
      <w:color w:val="800080"/>
      <w:u w:val="single"/>
    </w:rPr>
  </w:style>
  <w:style w:type="character" w:styleId="Rimandocommento">
    <w:name w:val="annotation reference"/>
    <w:basedOn w:val="Carpredefinitoparagrafo"/>
    <w:uiPriority w:val="99"/>
    <w:rsid w:val="0082122E"/>
    <w:rPr>
      <w:rFonts w:cs="Times New Roman"/>
      <w:sz w:val="18"/>
      <w:szCs w:val="18"/>
    </w:rPr>
  </w:style>
  <w:style w:type="paragraph" w:styleId="Testocommento">
    <w:name w:val="annotation text"/>
    <w:basedOn w:val="Normale"/>
    <w:link w:val="TestocommentoCarattere"/>
    <w:uiPriority w:val="99"/>
    <w:rsid w:val="0082122E"/>
  </w:style>
  <w:style w:type="character" w:customStyle="1" w:styleId="TestocommentoCarattere">
    <w:name w:val="Testo commento Carattere"/>
    <w:basedOn w:val="Carpredefinitoparagrafo"/>
    <w:link w:val="Testocommento"/>
    <w:uiPriority w:val="99"/>
    <w:locked/>
    <w:rsid w:val="0082122E"/>
    <w:rPr>
      <w:rFonts w:cs="Times New Roman"/>
      <w:sz w:val="24"/>
      <w:szCs w:val="24"/>
    </w:rPr>
  </w:style>
  <w:style w:type="paragraph" w:styleId="Soggettocommento">
    <w:name w:val="annotation subject"/>
    <w:basedOn w:val="Testocommento"/>
    <w:next w:val="Testocommento"/>
    <w:link w:val="SoggettocommentoCarattere"/>
    <w:uiPriority w:val="99"/>
    <w:rsid w:val="0082122E"/>
    <w:rPr>
      <w:b/>
      <w:bCs/>
      <w:sz w:val="20"/>
      <w:szCs w:val="20"/>
    </w:rPr>
  </w:style>
  <w:style w:type="character" w:customStyle="1" w:styleId="SoggettocommentoCarattere">
    <w:name w:val="Soggetto commento Carattere"/>
    <w:basedOn w:val="TestocommentoCarattere"/>
    <w:link w:val="Soggettocommento"/>
    <w:uiPriority w:val="99"/>
    <w:locked/>
    <w:rsid w:val="0082122E"/>
    <w:rPr>
      <w:rFonts w:cs="Times New Roman"/>
      <w:b/>
      <w:bCs/>
      <w:sz w:val="24"/>
      <w:szCs w:val="24"/>
    </w:rPr>
  </w:style>
  <w:style w:type="paragraph" w:styleId="Testonormale">
    <w:name w:val="Plain Text"/>
    <w:basedOn w:val="Normale"/>
    <w:link w:val="TestonormaleCarattere"/>
    <w:uiPriority w:val="99"/>
    <w:rsid w:val="00C34999"/>
    <w:rPr>
      <w:rFonts w:ascii="Consolas" w:hAnsi="Consolas" w:cs="Consolas"/>
      <w:sz w:val="21"/>
      <w:szCs w:val="21"/>
      <w:lang w:eastAsia="en-US"/>
    </w:rPr>
  </w:style>
  <w:style w:type="character" w:customStyle="1" w:styleId="TestonormaleCarattere">
    <w:name w:val="Testo normale Carattere"/>
    <w:basedOn w:val="Carpredefinitoparagrafo"/>
    <w:link w:val="Testonormale"/>
    <w:uiPriority w:val="99"/>
    <w:locked/>
    <w:rsid w:val="00C34999"/>
    <w:rPr>
      <w:rFonts w:ascii="Consolas" w:hAnsi="Consolas" w:cs="Consolas"/>
      <w:sz w:val="21"/>
      <w:szCs w:val="21"/>
      <w:lang w:eastAsia="en-US"/>
    </w:rPr>
  </w:style>
  <w:style w:type="paragraph" w:customStyle="1" w:styleId="Default">
    <w:name w:val="Default"/>
    <w:uiPriority w:val="99"/>
    <w:rsid w:val="00C9576D"/>
    <w:pPr>
      <w:autoSpaceDE w:val="0"/>
      <w:autoSpaceDN w:val="0"/>
      <w:adjustRightInd w:val="0"/>
    </w:pPr>
    <w:rPr>
      <w:rFonts w:ascii="Calibri" w:hAnsi="Calibri" w:cs="Calibri"/>
      <w:color w:val="000000"/>
      <w:sz w:val="24"/>
      <w:szCs w:val="24"/>
      <w:lang w:eastAsia="en-US"/>
    </w:rPr>
  </w:style>
  <w:style w:type="paragraph" w:styleId="Testonotaapidipagina">
    <w:name w:val="footnote text"/>
    <w:basedOn w:val="Normale"/>
    <w:link w:val="TestonotaapidipaginaCarattere"/>
    <w:uiPriority w:val="99"/>
    <w:rsid w:val="002A373D"/>
    <w:rPr>
      <w:sz w:val="20"/>
      <w:szCs w:val="20"/>
    </w:rPr>
  </w:style>
  <w:style w:type="character" w:customStyle="1" w:styleId="TestonotaapidipaginaCarattere">
    <w:name w:val="Testo nota a piè di pagina Carattere"/>
    <w:basedOn w:val="Carpredefinitoparagrafo"/>
    <w:link w:val="Testonotaapidipagina"/>
    <w:uiPriority w:val="99"/>
    <w:locked/>
    <w:rsid w:val="002A373D"/>
    <w:rPr>
      <w:rFonts w:cs="Times New Roman"/>
    </w:rPr>
  </w:style>
  <w:style w:type="character" w:styleId="Rimandonotaapidipagina">
    <w:name w:val="footnote reference"/>
    <w:basedOn w:val="Carpredefinitoparagrafo"/>
    <w:uiPriority w:val="99"/>
    <w:rsid w:val="002A373D"/>
    <w:rPr>
      <w:rFonts w:cs="Times New Roman"/>
      <w:vertAlign w:val="superscript"/>
    </w:rPr>
  </w:style>
  <w:style w:type="paragraph" w:styleId="Revisione">
    <w:name w:val="Revision"/>
    <w:hidden/>
    <w:uiPriority w:val="99"/>
    <w:semiHidden/>
    <w:rsid w:val="001165B7"/>
    <w:rPr>
      <w:sz w:val="24"/>
      <w:szCs w:val="24"/>
    </w:rPr>
  </w:style>
  <w:style w:type="paragraph" w:styleId="Didascalia">
    <w:name w:val="caption"/>
    <w:basedOn w:val="Normale"/>
    <w:next w:val="Normale"/>
    <w:link w:val="DidascaliaCarattere"/>
    <w:unhideWhenUsed/>
    <w:qFormat/>
    <w:locked/>
    <w:rsid w:val="00652241"/>
    <w:pPr>
      <w:spacing w:after="120" w:line="276" w:lineRule="auto"/>
      <w:jc w:val="both"/>
    </w:pPr>
    <w:rPr>
      <w:rFonts w:ascii="Garamond" w:eastAsiaTheme="minorEastAsia" w:hAnsi="Garamond" w:cstheme="minorBidi"/>
      <w:sz w:val="18"/>
      <w:szCs w:val="16"/>
      <w:lang w:eastAsia="en-US" w:bidi="en-US"/>
    </w:rPr>
  </w:style>
  <w:style w:type="character" w:customStyle="1" w:styleId="DidascaliaCarattere">
    <w:name w:val="Didascalia Carattere"/>
    <w:basedOn w:val="Carpredefinitoparagrafo"/>
    <w:link w:val="Didascalia"/>
    <w:rsid w:val="00652241"/>
    <w:rPr>
      <w:rFonts w:ascii="Garamond" w:eastAsiaTheme="minorEastAsia" w:hAnsi="Garamond" w:cstheme="minorBidi"/>
      <w:sz w:val="18"/>
      <w:szCs w:val="16"/>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3C3A"/>
    <w:rPr>
      <w:sz w:val="24"/>
      <w:szCs w:val="24"/>
    </w:rPr>
  </w:style>
  <w:style w:type="paragraph" w:styleId="Titolo1">
    <w:name w:val="heading 1"/>
    <w:basedOn w:val="Normale"/>
    <w:next w:val="Normale"/>
    <w:link w:val="Titolo1Carattere"/>
    <w:uiPriority w:val="99"/>
    <w:qFormat/>
    <w:rsid w:val="00436C69"/>
    <w:pPr>
      <w:keepNext/>
      <w:outlineLvl w:val="0"/>
    </w:pPr>
    <w:rPr>
      <w:b/>
      <w:bCs/>
      <w:sz w:val="32"/>
    </w:rPr>
  </w:style>
  <w:style w:type="paragraph" w:styleId="Titolo3">
    <w:name w:val="heading 3"/>
    <w:basedOn w:val="Normale"/>
    <w:next w:val="Normale"/>
    <w:link w:val="Titolo3Carattere"/>
    <w:uiPriority w:val="99"/>
    <w:qFormat/>
    <w:rsid w:val="00436C69"/>
    <w:pPr>
      <w:keepNext/>
      <w:jc w:val="center"/>
      <w:outlineLvl w:val="2"/>
    </w:pPr>
    <w:rPr>
      <w:b/>
      <w:bCs/>
      <w:sz w:val="28"/>
      <w:u w:val="single"/>
    </w:rPr>
  </w:style>
  <w:style w:type="paragraph" w:styleId="Titolo5">
    <w:name w:val="heading 5"/>
    <w:basedOn w:val="Normale"/>
    <w:next w:val="Normale"/>
    <w:link w:val="Titolo5Carattere"/>
    <w:uiPriority w:val="99"/>
    <w:qFormat/>
    <w:rsid w:val="00087DA4"/>
    <w:pPr>
      <w:keepNext/>
      <w:keepLines/>
      <w:spacing w:before="200"/>
      <w:outlineLvl w:val="4"/>
    </w:pPr>
    <w:rPr>
      <w:rFonts w:ascii="Cambria"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5Carattere">
    <w:name w:val="Titolo 5 Carattere"/>
    <w:basedOn w:val="Carpredefinitoparagrafo"/>
    <w:link w:val="Titolo5"/>
    <w:uiPriority w:val="99"/>
    <w:locked/>
    <w:rsid w:val="00087DA4"/>
    <w:rPr>
      <w:rFonts w:ascii="Cambria" w:hAnsi="Cambria" w:cs="Times New Roman"/>
      <w:color w:val="243F60"/>
      <w:sz w:val="24"/>
      <w:szCs w:val="24"/>
    </w:rPr>
  </w:style>
  <w:style w:type="paragraph" w:styleId="Intestazione">
    <w:name w:val="header"/>
    <w:basedOn w:val="Normale"/>
    <w:link w:val="IntestazioneCarattere"/>
    <w:uiPriority w:val="99"/>
    <w:rsid w:val="007030FE"/>
    <w:pPr>
      <w:tabs>
        <w:tab w:val="center" w:pos="4819"/>
        <w:tab w:val="right" w:pos="9638"/>
      </w:tabs>
    </w:pPr>
  </w:style>
  <w:style w:type="character" w:customStyle="1" w:styleId="IntestazioneCarattere">
    <w:name w:val="Intestazione Carattere"/>
    <w:basedOn w:val="Carpredefinitoparagrafo"/>
    <w:link w:val="Intestazione"/>
    <w:uiPriority w:val="99"/>
    <w:locked/>
    <w:rsid w:val="00694CEC"/>
    <w:rPr>
      <w:rFonts w:cs="Times New Roman"/>
      <w:sz w:val="24"/>
      <w:szCs w:val="24"/>
    </w:rPr>
  </w:style>
  <w:style w:type="paragraph" w:styleId="Pidipagina">
    <w:name w:val="footer"/>
    <w:basedOn w:val="Normale"/>
    <w:link w:val="PidipaginaCarattere"/>
    <w:uiPriority w:val="99"/>
    <w:rsid w:val="007030FE"/>
    <w:pPr>
      <w:tabs>
        <w:tab w:val="center" w:pos="4819"/>
        <w:tab w:val="right" w:pos="9638"/>
      </w:tabs>
    </w:pPr>
  </w:style>
  <w:style w:type="character" w:customStyle="1" w:styleId="PidipaginaCarattere">
    <w:name w:val="Piè di pagina Carattere"/>
    <w:basedOn w:val="Carpredefinitoparagrafo"/>
    <w:link w:val="Pidipagina"/>
    <w:uiPriority w:val="99"/>
    <w:locked/>
    <w:rsid w:val="000F2869"/>
    <w:rPr>
      <w:rFonts w:cs="Times New Roman"/>
      <w:sz w:val="24"/>
      <w:szCs w:val="24"/>
    </w:rPr>
  </w:style>
  <w:style w:type="table" w:styleId="Grigliatabella">
    <w:name w:val="Table Grid"/>
    <w:basedOn w:val="Tabellanormale"/>
    <w:uiPriority w:val="99"/>
    <w:rsid w:val="007030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7030FE"/>
    <w:rPr>
      <w:rFonts w:cs="Times New Roman"/>
      <w:color w:val="0000FF"/>
      <w:u w:val="single"/>
    </w:rPr>
  </w:style>
  <w:style w:type="paragraph" w:styleId="Testofumetto">
    <w:name w:val="Balloon Text"/>
    <w:basedOn w:val="Normale"/>
    <w:link w:val="TestofumettoCarattere"/>
    <w:uiPriority w:val="99"/>
    <w:semiHidden/>
    <w:rsid w:val="007030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paragraph" w:styleId="Corpotesto">
    <w:name w:val="Body Text"/>
    <w:basedOn w:val="Normale"/>
    <w:link w:val="CorpotestoCarattere"/>
    <w:uiPriority w:val="99"/>
    <w:rsid w:val="00436C69"/>
    <w:rPr>
      <w:sz w:val="32"/>
    </w:rPr>
  </w:style>
  <w:style w:type="character" w:customStyle="1" w:styleId="CorpotestoCarattere">
    <w:name w:val="Corpo testo Carattere"/>
    <w:basedOn w:val="Carpredefinitoparagrafo"/>
    <w:link w:val="Corpotesto"/>
    <w:uiPriority w:val="99"/>
    <w:locked/>
    <w:rsid w:val="00D02E82"/>
    <w:rPr>
      <w:rFonts w:cs="Times New Roman"/>
      <w:sz w:val="24"/>
      <w:szCs w:val="24"/>
    </w:rPr>
  </w:style>
  <w:style w:type="paragraph" w:customStyle="1" w:styleId="Rapportocda">
    <w:name w:val="Rapporto cda"/>
    <w:basedOn w:val="Corpotesto"/>
    <w:uiPriority w:val="99"/>
    <w:rsid w:val="00395F90"/>
    <w:pPr>
      <w:spacing w:after="120"/>
      <w:jc w:val="both"/>
    </w:pPr>
    <w:rPr>
      <w:rFonts w:ascii="Arial" w:hAnsi="Arial"/>
      <w:sz w:val="22"/>
    </w:rPr>
  </w:style>
  <w:style w:type="paragraph" w:styleId="Mappadocumento">
    <w:name w:val="Document Map"/>
    <w:basedOn w:val="Normale"/>
    <w:link w:val="MappadocumentoCarattere"/>
    <w:uiPriority w:val="99"/>
    <w:semiHidden/>
    <w:rsid w:val="00133D7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cs="Times New Roman"/>
      <w:sz w:val="2"/>
    </w:rPr>
  </w:style>
  <w:style w:type="paragraph" w:styleId="NormaleWeb">
    <w:name w:val="Normal (Web)"/>
    <w:basedOn w:val="Normale"/>
    <w:uiPriority w:val="99"/>
    <w:rsid w:val="00DD6B61"/>
    <w:pPr>
      <w:spacing w:before="100" w:beforeAutospacing="1" w:after="100" w:afterAutospacing="1"/>
    </w:pPr>
  </w:style>
  <w:style w:type="paragraph" w:customStyle="1" w:styleId="Paragrafoelenco1">
    <w:name w:val="Paragrafo elenco1"/>
    <w:basedOn w:val="Normale"/>
    <w:uiPriority w:val="99"/>
    <w:rsid w:val="00333B8F"/>
    <w:pPr>
      <w:spacing w:after="200" w:line="276" w:lineRule="auto"/>
      <w:ind w:left="720"/>
    </w:pPr>
    <w:rPr>
      <w:rFonts w:ascii="Calibri" w:hAnsi="Calibri"/>
      <w:sz w:val="22"/>
      <w:szCs w:val="22"/>
      <w:lang w:eastAsia="en-US"/>
    </w:rPr>
  </w:style>
  <w:style w:type="character" w:styleId="Enfasigrassetto">
    <w:name w:val="Strong"/>
    <w:basedOn w:val="Carpredefinitoparagrafo"/>
    <w:uiPriority w:val="99"/>
    <w:qFormat/>
    <w:rsid w:val="00371CB4"/>
    <w:rPr>
      <w:rFonts w:cs="Times New Roman"/>
      <w:b/>
      <w:bCs/>
    </w:rPr>
  </w:style>
  <w:style w:type="paragraph" w:styleId="Paragrafoelenco">
    <w:name w:val="List Paragraph"/>
    <w:basedOn w:val="Normale"/>
    <w:uiPriority w:val="99"/>
    <w:qFormat/>
    <w:rsid w:val="00371CB4"/>
    <w:pPr>
      <w:spacing w:after="200" w:line="276" w:lineRule="auto"/>
      <w:ind w:left="720"/>
      <w:contextualSpacing/>
    </w:pPr>
    <w:rPr>
      <w:rFonts w:ascii="Calibri" w:hAnsi="Calibri"/>
      <w:sz w:val="22"/>
      <w:szCs w:val="22"/>
      <w:lang w:eastAsia="en-US"/>
    </w:rPr>
  </w:style>
  <w:style w:type="character" w:customStyle="1" w:styleId="stile21">
    <w:name w:val="stile21"/>
    <w:basedOn w:val="Carpredefinitoparagrafo"/>
    <w:uiPriority w:val="99"/>
    <w:rsid w:val="004916A0"/>
    <w:rPr>
      <w:rFonts w:cs="Times New Roman"/>
      <w:sz w:val="27"/>
      <w:szCs w:val="27"/>
    </w:rPr>
  </w:style>
  <w:style w:type="character" w:customStyle="1" w:styleId="apple-style-span">
    <w:name w:val="apple-style-span"/>
    <w:basedOn w:val="Carpredefinitoparagrafo"/>
    <w:uiPriority w:val="99"/>
    <w:rsid w:val="001911F1"/>
    <w:rPr>
      <w:rFonts w:cs="Times New Roman"/>
    </w:rPr>
  </w:style>
  <w:style w:type="character" w:styleId="Collegamentovisitato">
    <w:name w:val="FollowedHyperlink"/>
    <w:basedOn w:val="Carpredefinitoparagrafo"/>
    <w:uiPriority w:val="99"/>
    <w:rsid w:val="0059217C"/>
    <w:rPr>
      <w:rFonts w:cs="Times New Roman"/>
      <w:color w:val="800080"/>
      <w:u w:val="single"/>
    </w:rPr>
  </w:style>
  <w:style w:type="character" w:styleId="Rimandocommento">
    <w:name w:val="annotation reference"/>
    <w:basedOn w:val="Carpredefinitoparagrafo"/>
    <w:uiPriority w:val="99"/>
    <w:rsid w:val="0082122E"/>
    <w:rPr>
      <w:rFonts w:cs="Times New Roman"/>
      <w:sz w:val="18"/>
      <w:szCs w:val="18"/>
    </w:rPr>
  </w:style>
  <w:style w:type="paragraph" w:styleId="Testocommento">
    <w:name w:val="annotation text"/>
    <w:basedOn w:val="Normale"/>
    <w:link w:val="TestocommentoCarattere"/>
    <w:uiPriority w:val="99"/>
    <w:rsid w:val="0082122E"/>
  </w:style>
  <w:style w:type="character" w:customStyle="1" w:styleId="TestocommentoCarattere">
    <w:name w:val="Testo commento Carattere"/>
    <w:basedOn w:val="Carpredefinitoparagrafo"/>
    <w:link w:val="Testocommento"/>
    <w:uiPriority w:val="99"/>
    <w:locked/>
    <w:rsid w:val="0082122E"/>
    <w:rPr>
      <w:rFonts w:cs="Times New Roman"/>
      <w:sz w:val="24"/>
      <w:szCs w:val="24"/>
    </w:rPr>
  </w:style>
  <w:style w:type="paragraph" w:styleId="Soggettocommento">
    <w:name w:val="annotation subject"/>
    <w:basedOn w:val="Testocommento"/>
    <w:next w:val="Testocommento"/>
    <w:link w:val="SoggettocommentoCarattere"/>
    <w:uiPriority w:val="99"/>
    <w:rsid w:val="0082122E"/>
    <w:rPr>
      <w:b/>
      <w:bCs/>
      <w:sz w:val="20"/>
      <w:szCs w:val="20"/>
    </w:rPr>
  </w:style>
  <w:style w:type="character" w:customStyle="1" w:styleId="SoggettocommentoCarattere">
    <w:name w:val="Soggetto commento Carattere"/>
    <w:basedOn w:val="TestocommentoCarattere"/>
    <w:link w:val="Soggettocommento"/>
    <w:uiPriority w:val="99"/>
    <w:locked/>
    <w:rsid w:val="0082122E"/>
    <w:rPr>
      <w:rFonts w:cs="Times New Roman"/>
      <w:b/>
      <w:bCs/>
      <w:sz w:val="24"/>
      <w:szCs w:val="24"/>
    </w:rPr>
  </w:style>
  <w:style w:type="paragraph" w:styleId="Testonormale">
    <w:name w:val="Plain Text"/>
    <w:basedOn w:val="Normale"/>
    <w:link w:val="TestonormaleCarattere"/>
    <w:uiPriority w:val="99"/>
    <w:rsid w:val="00C34999"/>
    <w:rPr>
      <w:rFonts w:ascii="Consolas" w:hAnsi="Consolas" w:cs="Consolas"/>
      <w:sz w:val="21"/>
      <w:szCs w:val="21"/>
      <w:lang w:eastAsia="en-US"/>
    </w:rPr>
  </w:style>
  <w:style w:type="character" w:customStyle="1" w:styleId="TestonormaleCarattere">
    <w:name w:val="Testo normale Carattere"/>
    <w:basedOn w:val="Carpredefinitoparagrafo"/>
    <w:link w:val="Testonormale"/>
    <w:uiPriority w:val="99"/>
    <w:locked/>
    <w:rsid w:val="00C34999"/>
    <w:rPr>
      <w:rFonts w:ascii="Consolas" w:hAnsi="Consolas" w:cs="Consolas"/>
      <w:sz w:val="21"/>
      <w:szCs w:val="21"/>
      <w:lang w:eastAsia="en-US"/>
    </w:rPr>
  </w:style>
  <w:style w:type="paragraph" w:customStyle="1" w:styleId="Default">
    <w:name w:val="Default"/>
    <w:uiPriority w:val="99"/>
    <w:rsid w:val="00C9576D"/>
    <w:pPr>
      <w:autoSpaceDE w:val="0"/>
      <w:autoSpaceDN w:val="0"/>
      <w:adjustRightInd w:val="0"/>
    </w:pPr>
    <w:rPr>
      <w:rFonts w:ascii="Calibri" w:hAnsi="Calibri" w:cs="Calibri"/>
      <w:color w:val="000000"/>
      <w:sz w:val="24"/>
      <w:szCs w:val="24"/>
      <w:lang w:eastAsia="en-US"/>
    </w:rPr>
  </w:style>
  <w:style w:type="paragraph" w:styleId="Testonotaapidipagina">
    <w:name w:val="footnote text"/>
    <w:basedOn w:val="Normale"/>
    <w:link w:val="TestonotaapidipaginaCarattere"/>
    <w:uiPriority w:val="99"/>
    <w:rsid w:val="002A373D"/>
    <w:rPr>
      <w:sz w:val="20"/>
      <w:szCs w:val="20"/>
    </w:rPr>
  </w:style>
  <w:style w:type="character" w:customStyle="1" w:styleId="TestonotaapidipaginaCarattere">
    <w:name w:val="Testo nota a piè di pagina Carattere"/>
    <w:basedOn w:val="Carpredefinitoparagrafo"/>
    <w:link w:val="Testonotaapidipagina"/>
    <w:uiPriority w:val="99"/>
    <w:locked/>
    <w:rsid w:val="002A373D"/>
    <w:rPr>
      <w:rFonts w:cs="Times New Roman"/>
    </w:rPr>
  </w:style>
  <w:style w:type="character" w:styleId="Rimandonotaapidipagina">
    <w:name w:val="footnote reference"/>
    <w:basedOn w:val="Carpredefinitoparagrafo"/>
    <w:uiPriority w:val="99"/>
    <w:rsid w:val="002A373D"/>
    <w:rPr>
      <w:rFonts w:cs="Times New Roman"/>
      <w:vertAlign w:val="superscript"/>
    </w:rPr>
  </w:style>
  <w:style w:type="paragraph" w:styleId="Revisione">
    <w:name w:val="Revision"/>
    <w:hidden/>
    <w:uiPriority w:val="99"/>
    <w:semiHidden/>
    <w:rsid w:val="001165B7"/>
    <w:rPr>
      <w:sz w:val="24"/>
      <w:szCs w:val="24"/>
    </w:rPr>
  </w:style>
  <w:style w:type="paragraph" w:styleId="Didascalia">
    <w:name w:val="caption"/>
    <w:basedOn w:val="Normale"/>
    <w:next w:val="Normale"/>
    <w:link w:val="DidascaliaCarattere"/>
    <w:unhideWhenUsed/>
    <w:qFormat/>
    <w:locked/>
    <w:rsid w:val="00652241"/>
    <w:pPr>
      <w:spacing w:after="120" w:line="276" w:lineRule="auto"/>
      <w:jc w:val="both"/>
    </w:pPr>
    <w:rPr>
      <w:rFonts w:ascii="Garamond" w:eastAsiaTheme="minorEastAsia" w:hAnsi="Garamond" w:cstheme="minorBidi"/>
      <w:sz w:val="18"/>
      <w:szCs w:val="16"/>
      <w:lang w:eastAsia="en-US" w:bidi="en-US"/>
    </w:rPr>
  </w:style>
  <w:style w:type="character" w:customStyle="1" w:styleId="DidascaliaCarattere">
    <w:name w:val="Didascalia Carattere"/>
    <w:basedOn w:val="Carpredefinitoparagrafo"/>
    <w:link w:val="Didascalia"/>
    <w:rsid w:val="00652241"/>
    <w:rPr>
      <w:rFonts w:ascii="Garamond" w:eastAsiaTheme="minorEastAsia" w:hAnsi="Garamond" w:cstheme="minorBidi"/>
      <w:sz w:val="18"/>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4063">
      <w:bodyDiv w:val="1"/>
      <w:marLeft w:val="0"/>
      <w:marRight w:val="0"/>
      <w:marTop w:val="0"/>
      <w:marBottom w:val="0"/>
      <w:divBdr>
        <w:top w:val="none" w:sz="0" w:space="0" w:color="auto"/>
        <w:left w:val="none" w:sz="0" w:space="0" w:color="auto"/>
        <w:bottom w:val="none" w:sz="0" w:space="0" w:color="auto"/>
        <w:right w:val="none" w:sz="0" w:space="0" w:color="auto"/>
      </w:divBdr>
    </w:div>
    <w:div w:id="1746027926">
      <w:marLeft w:val="0"/>
      <w:marRight w:val="0"/>
      <w:marTop w:val="0"/>
      <w:marBottom w:val="0"/>
      <w:divBdr>
        <w:top w:val="none" w:sz="0" w:space="0" w:color="auto"/>
        <w:left w:val="none" w:sz="0" w:space="0" w:color="auto"/>
        <w:bottom w:val="none" w:sz="0" w:space="0" w:color="auto"/>
        <w:right w:val="none" w:sz="0" w:space="0" w:color="auto"/>
      </w:divBdr>
    </w:div>
    <w:div w:id="1746027927">
      <w:marLeft w:val="0"/>
      <w:marRight w:val="0"/>
      <w:marTop w:val="0"/>
      <w:marBottom w:val="0"/>
      <w:divBdr>
        <w:top w:val="none" w:sz="0" w:space="0" w:color="auto"/>
        <w:left w:val="none" w:sz="0" w:space="0" w:color="auto"/>
        <w:bottom w:val="none" w:sz="0" w:space="0" w:color="auto"/>
        <w:right w:val="none" w:sz="0" w:space="0" w:color="auto"/>
      </w:divBdr>
    </w:div>
    <w:div w:id="1746027928">
      <w:marLeft w:val="0"/>
      <w:marRight w:val="0"/>
      <w:marTop w:val="0"/>
      <w:marBottom w:val="0"/>
      <w:divBdr>
        <w:top w:val="none" w:sz="0" w:space="0" w:color="auto"/>
        <w:left w:val="none" w:sz="0" w:space="0" w:color="auto"/>
        <w:bottom w:val="none" w:sz="0" w:space="0" w:color="auto"/>
        <w:right w:val="none" w:sz="0" w:space="0" w:color="auto"/>
      </w:divBdr>
    </w:div>
    <w:div w:id="1746027929">
      <w:marLeft w:val="0"/>
      <w:marRight w:val="0"/>
      <w:marTop w:val="0"/>
      <w:marBottom w:val="0"/>
      <w:divBdr>
        <w:top w:val="none" w:sz="0" w:space="0" w:color="auto"/>
        <w:left w:val="none" w:sz="0" w:space="0" w:color="auto"/>
        <w:bottom w:val="none" w:sz="0" w:space="0" w:color="auto"/>
        <w:right w:val="none" w:sz="0" w:space="0" w:color="auto"/>
      </w:divBdr>
    </w:div>
    <w:div w:id="1746027930">
      <w:marLeft w:val="0"/>
      <w:marRight w:val="0"/>
      <w:marTop w:val="0"/>
      <w:marBottom w:val="0"/>
      <w:divBdr>
        <w:top w:val="none" w:sz="0" w:space="0" w:color="auto"/>
        <w:left w:val="none" w:sz="0" w:space="0" w:color="auto"/>
        <w:bottom w:val="none" w:sz="0" w:space="0" w:color="auto"/>
        <w:right w:val="none" w:sz="0" w:space="0" w:color="auto"/>
      </w:divBdr>
    </w:div>
    <w:div w:id="1746027931">
      <w:marLeft w:val="0"/>
      <w:marRight w:val="0"/>
      <w:marTop w:val="0"/>
      <w:marBottom w:val="0"/>
      <w:divBdr>
        <w:top w:val="none" w:sz="0" w:space="0" w:color="auto"/>
        <w:left w:val="none" w:sz="0" w:space="0" w:color="auto"/>
        <w:bottom w:val="none" w:sz="0" w:space="0" w:color="auto"/>
        <w:right w:val="none" w:sz="0" w:space="0" w:color="auto"/>
      </w:divBdr>
      <w:divsChild>
        <w:div w:id="1746027959">
          <w:marLeft w:val="0"/>
          <w:marRight w:val="0"/>
          <w:marTop w:val="0"/>
          <w:marBottom w:val="0"/>
          <w:divBdr>
            <w:top w:val="none" w:sz="0" w:space="0" w:color="auto"/>
            <w:left w:val="none" w:sz="0" w:space="0" w:color="auto"/>
            <w:bottom w:val="none" w:sz="0" w:space="0" w:color="auto"/>
            <w:right w:val="none" w:sz="0" w:space="0" w:color="auto"/>
          </w:divBdr>
          <w:divsChild>
            <w:div w:id="17460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7932">
      <w:marLeft w:val="0"/>
      <w:marRight w:val="0"/>
      <w:marTop w:val="0"/>
      <w:marBottom w:val="0"/>
      <w:divBdr>
        <w:top w:val="none" w:sz="0" w:space="0" w:color="auto"/>
        <w:left w:val="none" w:sz="0" w:space="0" w:color="auto"/>
        <w:bottom w:val="none" w:sz="0" w:space="0" w:color="auto"/>
        <w:right w:val="none" w:sz="0" w:space="0" w:color="auto"/>
      </w:divBdr>
    </w:div>
    <w:div w:id="1746027933">
      <w:marLeft w:val="0"/>
      <w:marRight w:val="0"/>
      <w:marTop w:val="0"/>
      <w:marBottom w:val="0"/>
      <w:divBdr>
        <w:top w:val="none" w:sz="0" w:space="0" w:color="auto"/>
        <w:left w:val="none" w:sz="0" w:space="0" w:color="auto"/>
        <w:bottom w:val="none" w:sz="0" w:space="0" w:color="auto"/>
        <w:right w:val="none" w:sz="0" w:space="0" w:color="auto"/>
      </w:divBdr>
    </w:div>
    <w:div w:id="1746027934">
      <w:marLeft w:val="0"/>
      <w:marRight w:val="0"/>
      <w:marTop w:val="0"/>
      <w:marBottom w:val="0"/>
      <w:divBdr>
        <w:top w:val="none" w:sz="0" w:space="0" w:color="auto"/>
        <w:left w:val="none" w:sz="0" w:space="0" w:color="auto"/>
        <w:bottom w:val="none" w:sz="0" w:space="0" w:color="auto"/>
        <w:right w:val="none" w:sz="0" w:space="0" w:color="auto"/>
      </w:divBdr>
    </w:div>
    <w:div w:id="1746027935">
      <w:marLeft w:val="0"/>
      <w:marRight w:val="0"/>
      <w:marTop w:val="0"/>
      <w:marBottom w:val="0"/>
      <w:divBdr>
        <w:top w:val="none" w:sz="0" w:space="0" w:color="auto"/>
        <w:left w:val="none" w:sz="0" w:space="0" w:color="auto"/>
        <w:bottom w:val="none" w:sz="0" w:space="0" w:color="auto"/>
        <w:right w:val="none" w:sz="0" w:space="0" w:color="auto"/>
      </w:divBdr>
    </w:div>
    <w:div w:id="1746027936">
      <w:marLeft w:val="0"/>
      <w:marRight w:val="0"/>
      <w:marTop w:val="0"/>
      <w:marBottom w:val="0"/>
      <w:divBdr>
        <w:top w:val="none" w:sz="0" w:space="0" w:color="auto"/>
        <w:left w:val="none" w:sz="0" w:space="0" w:color="auto"/>
        <w:bottom w:val="none" w:sz="0" w:space="0" w:color="auto"/>
        <w:right w:val="none" w:sz="0" w:space="0" w:color="auto"/>
      </w:divBdr>
    </w:div>
    <w:div w:id="1746027937">
      <w:marLeft w:val="0"/>
      <w:marRight w:val="0"/>
      <w:marTop w:val="0"/>
      <w:marBottom w:val="0"/>
      <w:divBdr>
        <w:top w:val="none" w:sz="0" w:space="0" w:color="auto"/>
        <w:left w:val="none" w:sz="0" w:space="0" w:color="auto"/>
        <w:bottom w:val="none" w:sz="0" w:space="0" w:color="auto"/>
        <w:right w:val="none" w:sz="0" w:space="0" w:color="auto"/>
      </w:divBdr>
      <w:divsChild>
        <w:div w:id="1746027948">
          <w:marLeft w:val="0"/>
          <w:marRight w:val="0"/>
          <w:marTop w:val="0"/>
          <w:marBottom w:val="0"/>
          <w:divBdr>
            <w:top w:val="none" w:sz="0" w:space="0" w:color="auto"/>
            <w:left w:val="none" w:sz="0" w:space="0" w:color="auto"/>
            <w:bottom w:val="none" w:sz="0" w:space="0" w:color="auto"/>
            <w:right w:val="none" w:sz="0" w:space="0" w:color="auto"/>
          </w:divBdr>
          <w:divsChild>
            <w:div w:id="17460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7939">
      <w:marLeft w:val="0"/>
      <w:marRight w:val="0"/>
      <w:marTop w:val="0"/>
      <w:marBottom w:val="0"/>
      <w:divBdr>
        <w:top w:val="none" w:sz="0" w:space="0" w:color="auto"/>
        <w:left w:val="none" w:sz="0" w:space="0" w:color="auto"/>
        <w:bottom w:val="none" w:sz="0" w:space="0" w:color="auto"/>
        <w:right w:val="none" w:sz="0" w:space="0" w:color="auto"/>
      </w:divBdr>
    </w:div>
    <w:div w:id="1746027940">
      <w:marLeft w:val="0"/>
      <w:marRight w:val="0"/>
      <w:marTop w:val="0"/>
      <w:marBottom w:val="0"/>
      <w:divBdr>
        <w:top w:val="none" w:sz="0" w:space="0" w:color="auto"/>
        <w:left w:val="none" w:sz="0" w:space="0" w:color="auto"/>
        <w:bottom w:val="none" w:sz="0" w:space="0" w:color="auto"/>
        <w:right w:val="none" w:sz="0" w:space="0" w:color="auto"/>
      </w:divBdr>
    </w:div>
    <w:div w:id="1746027941">
      <w:marLeft w:val="0"/>
      <w:marRight w:val="0"/>
      <w:marTop w:val="0"/>
      <w:marBottom w:val="0"/>
      <w:divBdr>
        <w:top w:val="none" w:sz="0" w:space="0" w:color="auto"/>
        <w:left w:val="none" w:sz="0" w:space="0" w:color="auto"/>
        <w:bottom w:val="none" w:sz="0" w:space="0" w:color="auto"/>
        <w:right w:val="none" w:sz="0" w:space="0" w:color="auto"/>
      </w:divBdr>
    </w:div>
    <w:div w:id="1746027942">
      <w:marLeft w:val="0"/>
      <w:marRight w:val="0"/>
      <w:marTop w:val="0"/>
      <w:marBottom w:val="0"/>
      <w:divBdr>
        <w:top w:val="none" w:sz="0" w:space="0" w:color="auto"/>
        <w:left w:val="none" w:sz="0" w:space="0" w:color="auto"/>
        <w:bottom w:val="none" w:sz="0" w:space="0" w:color="auto"/>
        <w:right w:val="none" w:sz="0" w:space="0" w:color="auto"/>
      </w:divBdr>
    </w:div>
    <w:div w:id="1746027943">
      <w:marLeft w:val="0"/>
      <w:marRight w:val="0"/>
      <w:marTop w:val="0"/>
      <w:marBottom w:val="0"/>
      <w:divBdr>
        <w:top w:val="none" w:sz="0" w:space="0" w:color="auto"/>
        <w:left w:val="none" w:sz="0" w:space="0" w:color="auto"/>
        <w:bottom w:val="none" w:sz="0" w:space="0" w:color="auto"/>
        <w:right w:val="none" w:sz="0" w:space="0" w:color="auto"/>
      </w:divBdr>
    </w:div>
    <w:div w:id="1746027944">
      <w:marLeft w:val="0"/>
      <w:marRight w:val="0"/>
      <w:marTop w:val="0"/>
      <w:marBottom w:val="0"/>
      <w:divBdr>
        <w:top w:val="none" w:sz="0" w:space="0" w:color="auto"/>
        <w:left w:val="none" w:sz="0" w:space="0" w:color="auto"/>
        <w:bottom w:val="none" w:sz="0" w:space="0" w:color="auto"/>
        <w:right w:val="none" w:sz="0" w:space="0" w:color="auto"/>
      </w:divBdr>
    </w:div>
    <w:div w:id="1746027945">
      <w:marLeft w:val="0"/>
      <w:marRight w:val="0"/>
      <w:marTop w:val="0"/>
      <w:marBottom w:val="0"/>
      <w:divBdr>
        <w:top w:val="none" w:sz="0" w:space="0" w:color="auto"/>
        <w:left w:val="none" w:sz="0" w:space="0" w:color="auto"/>
        <w:bottom w:val="none" w:sz="0" w:space="0" w:color="auto"/>
        <w:right w:val="none" w:sz="0" w:space="0" w:color="auto"/>
      </w:divBdr>
    </w:div>
    <w:div w:id="1746027947">
      <w:marLeft w:val="0"/>
      <w:marRight w:val="0"/>
      <w:marTop w:val="0"/>
      <w:marBottom w:val="0"/>
      <w:divBdr>
        <w:top w:val="none" w:sz="0" w:space="0" w:color="auto"/>
        <w:left w:val="none" w:sz="0" w:space="0" w:color="auto"/>
        <w:bottom w:val="none" w:sz="0" w:space="0" w:color="auto"/>
        <w:right w:val="none" w:sz="0" w:space="0" w:color="auto"/>
      </w:divBdr>
    </w:div>
    <w:div w:id="1746027949">
      <w:marLeft w:val="0"/>
      <w:marRight w:val="0"/>
      <w:marTop w:val="0"/>
      <w:marBottom w:val="0"/>
      <w:divBdr>
        <w:top w:val="none" w:sz="0" w:space="0" w:color="auto"/>
        <w:left w:val="none" w:sz="0" w:space="0" w:color="auto"/>
        <w:bottom w:val="none" w:sz="0" w:space="0" w:color="auto"/>
        <w:right w:val="none" w:sz="0" w:space="0" w:color="auto"/>
      </w:divBdr>
    </w:div>
    <w:div w:id="1746027950">
      <w:marLeft w:val="0"/>
      <w:marRight w:val="0"/>
      <w:marTop w:val="0"/>
      <w:marBottom w:val="0"/>
      <w:divBdr>
        <w:top w:val="none" w:sz="0" w:space="0" w:color="auto"/>
        <w:left w:val="none" w:sz="0" w:space="0" w:color="auto"/>
        <w:bottom w:val="none" w:sz="0" w:space="0" w:color="auto"/>
        <w:right w:val="none" w:sz="0" w:space="0" w:color="auto"/>
      </w:divBdr>
    </w:div>
    <w:div w:id="1746027951">
      <w:marLeft w:val="0"/>
      <w:marRight w:val="0"/>
      <w:marTop w:val="0"/>
      <w:marBottom w:val="0"/>
      <w:divBdr>
        <w:top w:val="none" w:sz="0" w:space="0" w:color="auto"/>
        <w:left w:val="none" w:sz="0" w:space="0" w:color="auto"/>
        <w:bottom w:val="none" w:sz="0" w:space="0" w:color="auto"/>
        <w:right w:val="none" w:sz="0" w:space="0" w:color="auto"/>
      </w:divBdr>
    </w:div>
    <w:div w:id="1746027952">
      <w:marLeft w:val="0"/>
      <w:marRight w:val="0"/>
      <w:marTop w:val="0"/>
      <w:marBottom w:val="0"/>
      <w:divBdr>
        <w:top w:val="none" w:sz="0" w:space="0" w:color="auto"/>
        <w:left w:val="none" w:sz="0" w:space="0" w:color="auto"/>
        <w:bottom w:val="none" w:sz="0" w:space="0" w:color="auto"/>
        <w:right w:val="none" w:sz="0" w:space="0" w:color="auto"/>
      </w:divBdr>
    </w:div>
    <w:div w:id="1746027953">
      <w:marLeft w:val="0"/>
      <w:marRight w:val="0"/>
      <w:marTop w:val="0"/>
      <w:marBottom w:val="0"/>
      <w:divBdr>
        <w:top w:val="none" w:sz="0" w:space="0" w:color="auto"/>
        <w:left w:val="none" w:sz="0" w:space="0" w:color="auto"/>
        <w:bottom w:val="none" w:sz="0" w:space="0" w:color="auto"/>
        <w:right w:val="none" w:sz="0" w:space="0" w:color="auto"/>
      </w:divBdr>
    </w:div>
    <w:div w:id="1746027954">
      <w:marLeft w:val="0"/>
      <w:marRight w:val="0"/>
      <w:marTop w:val="0"/>
      <w:marBottom w:val="0"/>
      <w:divBdr>
        <w:top w:val="none" w:sz="0" w:space="0" w:color="auto"/>
        <w:left w:val="none" w:sz="0" w:space="0" w:color="auto"/>
        <w:bottom w:val="none" w:sz="0" w:space="0" w:color="auto"/>
        <w:right w:val="none" w:sz="0" w:space="0" w:color="auto"/>
      </w:divBdr>
    </w:div>
    <w:div w:id="1746027955">
      <w:marLeft w:val="0"/>
      <w:marRight w:val="0"/>
      <w:marTop w:val="0"/>
      <w:marBottom w:val="0"/>
      <w:divBdr>
        <w:top w:val="none" w:sz="0" w:space="0" w:color="auto"/>
        <w:left w:val="none" w:sz="0" w:space="0" w:color="auto"/>
        <w:bottom w:val="none" w:sz="0" w:space="0" w:color="auto"/>
        <w:right w:val="none" w:sz="0" w:space="0" w:color="auto"/>
      </w:divBdr>
    </w:div>
    <w:div w:id="1746027956">
      <w:marLeft w:val="0"/>
      <w:marRight w:val="0"/>
      <w:marTop w:val="0"/>
      <w:marBottom w:val="0"/>
      <w:divBdr>
        <w:top w:val="none" w:sz="0" w:space="0" w:color="auto"/>
        <w:left w:val="none" w:sz="0" w:space="0" w:color="auto"/>
        <w:bottom w:val="none" w:sz="0" w:space="0" w:color="auto"/>
        <w:right w:val="none" w:sz="0" w:space="0" w:color="auto"/>
      </w:divBdr>
    </w:div>
    <w:div w:id="1746027957">
      <w:marLeft w:val="0"/>
      <w:marRight w:val="0"/>
      <w:marTop w:val="0"/>
      <w:marBottom w:val="0"/>
      <w:divBdr>
        <w:top w:val="none" w:sz="0" w:space="0" w:color="auto"/>
        <w:left w:val="none" w:sz="0" w:space="0" w:color="auto"/>
        <w:bottom w:val="none" w:sz="0" w:space="0" w:color="auto"/>
        <w:right w:val="none" w:sz="0" w:space="0" w:color="auto"/>
      </w:divBdr>
    </w:div>
    <w:div w:id="1746027958">
      <w:marLeft w:val="0"/>
      <w:marRight w:val="0"/>
      <w:marTop w:val="0"/>
      <w:marBottom w:val="0"/>
      <w:divBdr>
        <w:top w:val="none" w:sz="0" w:space="0" w:color="auto"/>
        <w:left w:val="none" w:sz="0" w:space="0" w:color="auto"/>
        <w:bottom w:val="none" w:sz="0" w:space="0" w:color="auto"/>
        <w:right w:val="none" w:sz="0" w:space="0" w:color="auto"/>
      </w:divBdr>
    </w:div>
    <w:div w:id="1746027960">
      <w:marLeft w:val="0"/>
      <w:marRight w:val="0"/>
      <w:marTop w:val="0"/>
      <w:marBottom w:val="0"/>
      <w:divBdr>
        <w:top w:val="none" w:sz="0" w:space="0" w:color="auto"/>
        <w:left w:val="none" w:sz="0" w:space="0" w:color="auto"/>
        <w:bottom w:val="none" w:sz="0" w:space="0" w:color="auto"/>
        <w:right w:val="none" w:sz="0" w:space="0" w:color="auto"/>
      </w:divBdr>
    </w:div>
    <w:div w:id="1746027961">
      <w:marLeft w:val="0"/>
      <w:marRight w:val="0"/>
      <w:marTop w:val="0"/>
      <w:marBottom w:val="0"/>
      <w:divBdr>
        <w:top w:val="none" w:sz="0" w:space="0" w:color="auto"/>
        <w:left w:val="none" w:sz="0" w:space="0" w:color="auto"/>
        <w:bottom w:val="none" w:sz="0" w:space="0" w:color="auto"/>
        <w:right w:val="none" w:sz="0" w:space="0" w:color="auto"/>
      </w:divBdr>
    </w:div>
    <w:div w:id="1746027962">
      <w:marLeft w:val="0"/>
      <w:marRight w:val="0"/>
      <w:marTop w:val="0"/>
      <w:marBottom w:val="0"/>
      <w:divBdr>
        <w:top w:val="none" w:sz="0" w:space="0" w:color="auto"/>
        <w:left w:val="none" w:sz="0" w:space="0" w:color="auto"/>
        <w:bottom w:val="none" w:sz="0" w:space="0" w:color="auto"/>
        <w:right w:val="none" w:sz="0" w:space="0" w:color="auto"/>
      </w:divBdr>
    </w:div>
    <w:div w:id="1746027963">
      <w:marLeft w:val="0"/>
      <w:marRight w:val="0"/>
      <w:marTop w:val="0"/>
      <w:marBottom w:val="0"/>
      <w:divBdr>
        <w:top w:val="none" w:sz="0" w:space="0" w:color="auto"/>
        <w:left w:val="none" w:sz="0" w:space="0" w:color="auto"/>
        <w:bottom w:val="none" w:sz="0" w:space="0" w:color="auto"/>
        <w:right w:val="none" w:sz="0" w:space="0" w:color="auto"/>
      </w:divBdr>
    </w:div>
    <w:div w:id="1746027964">
      <w:marLeft w:val="0"/>
      <w:marRight w:val="0"/>
      <w:marTop w:val="0"/>
      <w:marBottom w:val="0"/>
      <w:divBdr>
        <w:top w:val="none" w:sz="0" w:space="0" w:color="auto"/>
        <w:left w:val="none" w:sz="0" w:space="0" w:color="auto"/>
        <w:bottom w:val="none" w:sz="0" w:space="0" w:color="auto"/>
        <w:right w:val="none" w:sz="0" w:space="0" w:color="auto"/>
      </w:divBdr>
    </w:div>
    <w:div w:id="1746027965">
      <w:marLeft w:val="0"/>
      <w:marRight w:val="0"/>
      <w:marTop w:val="0"/>
      <w:marBottom w:val="0"/>
      <w:divBdr>
        <w:top w:val="none" w:sz="0" w:space="0" w:color="auto"/>
        <w:left w:val="none" w:sz="0" w:space="0" w:color="auto"/>
        <w:bottom w:val="none" w:sz="0" w:space="0" w:color="auto"/>
        <w:right w:val="none" w:sz="0" w:space="0" w:color="auto"/>
      </w:divBdr>
    </w:div>
    <w:div w:id="1746027966">
      <w:marLeft w:val="0"/>
      <w:marRight w:val="0"/>
      <w:marTop w:val="0"/>
      <w:marBottom w:val="0"/>
      <w:divBdr>
        <w:top w:val="none" w:sz="0" w:space="0" w:color="auto"/>
        <w:left w:val="none" w:sz="0" w:space="0" w:color="auto"/>
        <w:bottom w:val="none" w:sz="0" w:space="0" w:color="auto"/>
        <w:right w:val="none" w:sz="0" w:space="0" w:color="auto"/>
      </w:divBdr>
    </w:div>
    <w:div w:id="1746027967">
      <w:marLeft w:val="0"/>
      <w:marRight w:val="0"/>
      <w:marTop w:val="0"/>
      <w:marBottom w:val="0"/>
      <w:divBdr>
        <w:top w:val="none" w:sz="0" w:space="0" w:color="auto"/>
        <w:left w:val="none" w:sz="0" w:space="0" w:color="auto"/>
        <w:bottom w:val="none" w:sz="0" w:space="0" w:color="auto"/>
        <w:right w:val="none" w:sz="0" w:space="0" w:color="auto"/>
      </w:divBdr>
    </w:div>
    <w:div w:id="1746027968">
      <w:marLeft w:val="0"/>
      <w:marRight w:val="0"/>
      <w:marTop w:val="0"/>
      <w:marBottom w:val="0"/>
      <w:divBdr>
        <w:top w:val="none" w:sz="0" w:space="0" w:color="auto"/>
        <w:left w:val="none" w:sz="0" w:space="0" w:color="auto"/>
        <w:bottom w:val="none" w:sz="0" w:space="0" w:color="auto"/>
        <w:right w:val="none" w:sz="0" w:space="0" w:color="auto"/>
      </w:divBdr>
    </w:div>
    <w:div w:id="1746027969">
      <w:marLeft w:val="0"/>
      <w:marRight w:val="0"/>
      <w:marTop w:val="0"/>
      <w:marBottom w:val="0"/>
      <w:divBdr>
        <w:top w:val="none" w:sz="0" w:space="0" w:color="auto"/>
        <w:left w:val="none" w:sz="0" w:space="0" w:color="auto"/>
        <w:bottom w:val="none" w:sz="0" w:space="0" w:color="auto"/>
        <w:right w:val="none" w:sz="0" w:space="0" w:color="auto"/>
      </w:divBdr>
    </w:div>
    <w:div w:id="1746027970">
      <w:marLeft w:val="0"/>
      <w:marRight w:val="0"/>
      <w:marTop w:val="0"/>
      <w:marBottom w:val="0"/>
      <w:divBdr>
        <w:top w:val="none" w:sz="0" w:space="0" w:color="auto"/>
        <w:left w:val="none" w:sz="0" w:space="0" w:color="auto"/>
        <w:bottom w:val="none" w:sz="0" w:space="0" w:color="auto"/>
        <w:right w:val="none" w:sz="0" w:space="0" w:color="auto"/>
      </w:divBdr>
    </w:div>
    <w:div w:id="1746027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vestor.relations@mps.it" TargetMode="External"/><Relationship Id="rId24" Type="http://schemas.openxmlformats.org/officeDocument/2006/relationships/image" Target="media/image13.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hyperlink" Target="mailto:ufficio.stampa@mps.it"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yperlink" Target="http://www.mps.it"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879E-7113-4F84-902C-56A7B9EC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6520</Words>
  <Characters>37170</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COMUNICATO STAMPA</vt:lpstr>
    </vt:vector>
  </TitlesOfParts>
  <Company>Consorzio Operativo Gruppo MPS</Company>
  <LinksUpToDate>false</LinksUpToDate>
  <CharactersWithSpaces>43603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VIVALDI DAVIDE (MPS - 06541)</dc:creator>
  <cp:lastModifiedBy>S540265</cp:lastModifiedBy>
  <cp:revision>4</cp:revision>
  <cp:lastPrinted>2015-12-16T13:43:00Z</cp:lastPrinted>
  <dcterms:created xsi:type="dcterms:W3CDTF">2015-12-16T20:00:00Z</dcterms:created>
  <dcterms:modified xsi:type="dcterms:W3CDTF">2015-12-16T20:33:00Z</dcterms:modified>
</cp:coreProperties>
</file>